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481" w:rsidRPr="00F25481" w:rsidRDefault="00F25481" w:rsidP="00F25481">
      <w:pPr>
        <w:spacing w:after="0" w:line="240" w:lineRule="auto"/>
        <w:jc w:val="center"/>
        <w:rPr>
          <w:rFonts w:ascii="Times New Roman" w:hAnsi="Times New Roman" w:cs="Times New Roman"/>
          <w:b/>
          <w:sz w:val="24"/>
          <w:szCs w:val="24"/>
        </w:rPr>
      </w:pPr>
      <w:bookmarkStart w:id="0" w:name="_GoBack"/>
      <w:bookmarkEnd w:id="0"/>
      <w:r w:rsidRPr="00F25481">
        <w:rPr>
          <w:rFonts w:ascii="Times New Roman" w:hAnsi="Times New Roman" w:cs="Times New Roman"/>
          <w:b/>
          <w:sz w:val="24"/>
          <w:szCs w:val="24"/>
        </w:rPr>
        <w:t>HCCA Compliance Institute</w:t>
      </w:r>
    </w:p>
    <w:p w:rsidR="00F25481" w:rsidRPr="00F25481" w:rsidRDefault="00F25481" w:rsidP="00F25481">
      <w:pPr>
        <w:spacing w:after="0" w:line="240" w:lineRule="auto"/>
        <w:jc w:val="center"/>
        <w:rPr>
          <w:rFonts w:ascii="Times New Roman" w:hAnsi="Times New Roman" w:cs="Times New Roman"/>
          <w:b/>
          <w:sz w:val="24"/>
          <w:szCs w:val="24"/>
        </w:rPr>
      </w:pPr>
      <w:r w:rsidRPr="00F25481">
        <w:rPr>
          <w:rFonts w:ascii="Times New Roman" w:hAnsi="Times New Roman" w:cs="Times New Roman"/>
          <w:b/>
          <w:sz w:val="24"/>
          <w:szCs w:val="24"/>
        </w:rPr>
        <w:t>Las Vegas, NV</w:t>
      </w:r>
    </w:p>
    <w:p w:rsidR="00F25481" w:rsidRPr="00F25481" w:rsidRDefault="00F25481" w:rsidP="00F25481">
      <w:pPr>
        <w:spacing w:after="0" w:line="240" w:lineRule="auto"/>
        <w:jc w:val="center"/>
        <w:rPr>
          <w:rFonts w:ascii="Times New Roman" w:hAnsi="Times New Roman" w:cs="Times New Roman"/>
          <w:b/>
          <w:sz w:val="24"/>
          <w:szCs w:val="24"/>
        </w:rPr>
      </w:pPr>
      <w:r w:rsidRPr="00F25481">
        <w:rPr>
          <w:rFonts w:ascii="Times New Roman" w:hAnsi="Times New Roman" w:cs="Times New Roman"/>
          <w:b/>
          <w:sz w:val="24"/>
          <w:szCs w:val="24"/>
        </w:rPr>
        <w:t>306 – Kickback and Stark Developments</w:t>
      </w:r>
    </w:p>
    <w:p w:rsidR="00F25481" w:rsidRDefault="00F25481" w:rsidP="00F25481">
      <w:pPr>
        <w:spacing w:after="0" w:line="240" w:lineRule="auto"/>
        <w:jc w:val="center"/>
        <w:rPr>
          <w:rFonts w:ascii="Times New Roman" w:hAnsi="Times New Roman" w:cs="Times New Roman"/>
          <w:b/>
          <w:sz w:val="24"/>
          <w:szCs w:val="24"/>
        </w:rPr>
      </w:pPr>
      <w:r w:rsidRPr="00F25481">
        <w:rPr>
          <w:rFonts w:ascii="Times New Roman" w:hAnsi="Times New Roman" w:cs="Times New Roman"/>
          <w:b/>
          <w:sz w:val="24"/>
          <w:szCs w:val="24"/>
        </w:rPr>
        <w:t>Monday, April 16. 2018, 3:00 p.m. to 4:00 p.m.</w:t>
      </w:r>
    </w:p>
    <w:p w:rsidR="00EF7678" w:rsidRDefault="00EF7678" w:rsidP="00F25481">
      <w:pPr>
        <w:spacing w:after="0" w:line="240" w:lineRule="auto"/>
        <w:jc w:val="center"/>
        <w:rPr>
          <w:rFonts w:ascii="Times New Roman" w:hAnsi="Times New Roman" w:cs="Times New Roman"/>
          <w:b/>
          <w:sz w:val="24"/>
          <w:szCs w:val="24"/>
        </w:rPr>
      </w:pPr>
    </w:p>
    <w:p w:rsidR="00EF7678" w:rsidRDefault="00EF7678" w:rsidP="00F254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Prepared by Scott C. Withrow</w:t>
      </w:r>
    </w:p>
    <w:p w:rsidR="00EF7678" w:rsidRDefault="00EF7678" w:rsidP="00F254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Withrow, McQuade &amp; Olsen, LLP</w:t>
      </w:r>
    </w:p>
    <w:p w:rsidR="00EF7678" w:rsidRDefault="00EF7678" w:rsidP="00F254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3379 Peachtree Road, Suite 970</w:t>
      </w:r>
    </w:p>
    <w:p w:rsidR="00EF7678" w:rsidRDefault="00EF7678" w:rsidP="00F254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Atlanta, GA 30326</w:t>
      </w:r>
    </w:p>
    <w:p w:rsidR="00EF7678" w:rsidRDefault="00EF7678" w:rsidP="00F254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404-814-0037</w:t>
      </w:r>
    </w:p>
    <w:p w:rsidR="00EF7678" w:rsidRDefault="006E43D6" w:rsidP="00F25481">
      <w:pPr>
        <w:spacing w:after="0" w:line="240" w:lineRule="auto"/>
        <w:jc w:val="center"/>
        <w:rPr>
          <w:rFonts w:ascii="Times New Roman" w:hAnsi="Times New Roman" w:cs="Times New Roman"/>
          <w:b/>
          <w:sz w:val="24"/>
          <w:szCs w:val="24"/>
        </w:rPr>
      </w:pPr>
      <w:hyperlink r:id="rId8" w:history="1">
        <w:r w:rsidR="00EF7678" w:rsidRPr="0017733F">
          <w:rPr>
            <w:rStyle w:val="Hyperlink"/>
            <w:rFonts w:ascii="Times New Roman" w:hAnsi="Times New Roman" w:cs="Times New Roman"/>
            <w:sz w:val="24"/>
            <w:szCs w:val="24"/>
          </w:rPr>
          <w:t>swithrow@wmolaw.com</w:t>
        </w:r>
      </w:hyperlink>
    </w:p>
    <w:p w:rsidR="00EF7678" w:rsidRPr="00F25481" w:rsidRDefault="006E43D6" w:rsidP="00F25481">
      <w:pPr>
        <w:spacing w:after="0" w:line="240" w:lineRule="auto"/>
        <w:jc w:val="center"/>
        <w:rPr>
          <w:rFonts w:ascii="Times New Roman" w:hAnsi="Times New Roman" w:cs="Times New Roman"/>
          <w:b/>
          <w:sz w:val="24"/>
          <w:szCs w:val="24"/>
        </w:rPr>
      </w:pPr>
      <w:hyperlink r:id="rId9" w:history="1">
        <w:r w:rsidR="00EF7678" w:rsidRPr="0017733F">
          <w:rPr>
            <w:rStyle w:val="Hyperlink"/>
            <w:rFonts w:ascii="Times New Roman" w:hAnsi="Times New Roman" w:cs="Times New Roman"/>
            <w:sz w:val="24"/>
            <w:szCs w:val="24"/>
          </w:rPr>
          <w:t>www.wmolaw.com</w:t>
        </w:r>
      </w:hyperlink>
      <w:r w:rsidR="00EF7678">
        <w:rPr>
          <w:rFonts w:ascii="Times New Roman" w:hAnsi="Times New Roman" w:cs="Times New Roman"/>
          <w:b/>
          <w:sz w:val="24"/>
          <w:szCs w:val="24"/>
        </w:rPr>
        <w:t xml:space="preserve"> </w:t>
      </w:r>
    </w:p>
    <w:p w:rsidR="00F25481" w:rsidRDefault="00F25481" w:rsidP="00F25481">
      <w:pPr>
        <w:spacing w:after="0" w:line="240" w:lineRule="auto"/>
        <w:jc w:val="center"/>
        <w:rPr>
          <w:rFonts w:ascii="Times New Roman" w:hAnsi="Times New Roman" w:cs="Times New Roman"/>
          <w:sz w:val="24"/>
          <w:szCs w:val="24"/>
        </w:rPr>
      </w:pPr>
    </w:p>
    <w:p w:rsidR="00F25481" w:rsidRPr="006200B6" w:rsidRDefault="00F25481" w:rsidP="00F25481">
      <w:pPr>
        <w:spacing w:after="0" w:line="240" w:lineRule="auto"/>
        <w:rPr>
          <w:rFonts w:ascii="Times New Roman" w:hAnsi="Times New Roman" w:cs="Times New Roman"/>
          <w:b/>
          <w:sz w:val="24"/>
          <w:szCs w:val="24"/>
        </w:rPr>
      </w:pPr>
      <w:r w:rsidRPr="006200B6">
        <w:rPr>
          <w:rFonts w:ascii="Times New Roman" w:hAnsi="Times New Roman" w:cs="Times New Roman"/>
          <w:b/>
          <w:sz w:val="24"/>
          <w:szCs w:val="24"/>
        </w:rPr>
        <w:t>A.</w:t>
      </w:r>
      <w:r w:rsidRPr="006200B6">
        <w:rPr>
          <w:rFonts w:ascii="Times New Roman" w:hAnsi="Times New Roman" w:cs="Times New Roman"/>
          <w:b/>
          <w:sz w:val="24"/>
          <w:szCs w:val="24"/>
        </w:rPr>
        <w:tab/>
      </w:r>
      <w:r w:rsidRPr="006200B6">
        <w:rPr>
          <w:rFonts w:ascii="Times New Roman" w:hAnsi="Times New Roman" w:cs="Times New Roman"/>
          <w:b/>
          <w:sz w:val="24"/>
          <w:szCs w:val="24"/>
          <w:u w:val="single"/>
        </w:rPr>
        <w:t>Enforcement trends and other recent developments in kickback and Stark Law</w:t>
      </w:r>
    </w:p>
    <w:p w:rsidR="00F25481" w:rsidRDefault="00F25481" w:rsidP="00F25481">
      <w:pPr>
        <w:spacing w:after="0" w:line="240" w:lineRule="auto"/>
        <w:rPr>
          <w:rFonts w:ascii="Times New Roman" w:hAnsi="Times New Roman" w:cs="Times New Roman"/>
          <w:sz w:val="24"/>
          <w:szCs w:val="24"/>
        </w:rPr>
      </w:pPr>
    </w:p>
    <w:p w:rsidR="00F25481" w:rsidRPr="006200B6" w:rsidRDefault="00F25481" w:rsidP="00F25481">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6200B6">
        <w:rPr>
          <w:rFonts w:ascii="Times New Roman" w:hAnsi="Times New Roman" w:cs="Times New Roman"/>
          <w:b/>
          <w:sz w:val="24"/>
          <w:szCs w:val="24"/>
        </w:rPr>
        <w:t>1.</w:t>
      </w:r>
      <w:r w:rsidRPr="006200B6">
        <w:rPr>
          <w:rFonts w:ascii="Times New Roman" w:hAnsi="Times New Roman" w:cs="Times New Roman"/>
          <w:b/>
          <w:sz w:val="24"/>
          <w:szCs w:val="24"/>
        </w:rPr>
        <w:tab/>
        <w:t xml:space="preserve">Charitable </w:t>
      </w:r>
      <w:r w:rsidR="00121FAC" w:rsidRPr="006200B6">
        <w:rPr>
          <w:rFonts w:ascii="Times New Roman" w:hAnsi="Times New Roman" w:cs="Times New Roman"/>
          <w:b/>
          <w:sz w:val="24"/>
          <w:szCs w:val="24"/>
        </w:rPr>
        <w:t>C</w:t>
      </w:r>
      <w:r w:rsidRPr="006200B6">
        <w:rPr>
          <w:rFonts w:ascii="Times New Roman" w:hAnsi="Times New Roman" w:cs="Times New Roman"/>
          <w:b/>
          <w:sz w:val="24"/>
          <w:szCs w:val="24"/>
        </w:rPr>
        <w:t>ontributions</w:t>
      </w:r>
    </w:p>
    <w:p w:rsidR="00F25481" w:rsidRDefault="00F25481" w:rsidP="00F25481">
      <w:pPr>
        <w:spacing w:after="0" w:line="240" w:lineRule="auto"/>
        <w:rPr>
          <w:rFonts w:ascii="Times New Roman" w:hAnsi="Times New Roman" w:cs="Times New Roman"/>
          <w:sz w:val="24"/>
          <w:szCs w:val="24"/>
        </w:rPr>
      </w:pPr>
    </w:p>
    <w:p w:rsidR="00F25481" w:rsidRDefault="00F25481" w:rsidP="00F2548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United Therap</w:t>
      </w:r>
      <w:r w:rsidR="008221A2">
        <w:rPr>
          <w:rFonts w:ascii="Times New Roman" w:hAnsi="Times New Roman" w:cs="Times New Roman"/>
          <w:sz w:val="24"/>
          <w:szCs w:val="24"/>
        </w:rPr>
        <w:t>e</w:t>
      </w:r>
      <w:r>
        <w:rPr>
          <w:rFonts w:ascii="Times New Roman" w:hAnsi="Times New Roman" w:cs="Times New Roman"/>
          <w:sz w:val="24"/>
          <w:szCs w:val="24"/>
        </w:rPr>
        <w:t>utics - $210 million settlement</w:t>
      </w:r>
      <w:r w:rsidR="00121FAC">
        <w:rPr>
          <w:rFonts w:ascii="Times New Roman" w:hAnsi="Times New Roman" w:cs="Times New Roman"/>
          <w:sz w:val="24"/>
          <w:szCs w:val="24"/>
        </w:rPr>
        <w:t xml:space="preserve"> – Dec. 20, 2017</w:t>
      </w:r>
    </w:p>
    <w:p w:rsidR="00F25481" w:rsidRDefault="00F25481" w:rsidP="00F2548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0" w:history="1">
        <w:r w:rsidRPr="00C756BA">
          <w:rPr>
            <w:rStyle w:val="Hyperlink"/>
            <w:rFonts w:ascii="Times New Roman" w:hAnsi="Times New Roman" w:cs="Times New Roman"/>
            <w:sz w:val="24"/>
            <w:szCs w:val="24"/>
          </w:rPr>
          <w:t>https://www.justice.gov/opa/pr/drug-maker-united-therapeutics-agrees-pay-210-million-resolve-false-claims-act-liability</w:t>
        </w:r>
      </w:hyperlink>
      <w:r>
        <w:rPr>
          <w:rFonts w:ascii="Times New Roman" w:hAnsi="Times New Roman" w:cs="Times New Roman"/>
          <w:sz w:val="24"/>
          <w:szCs w:val="24"/>
        </w:rPr>
        <w:t xml:space="preserve"> </w:t>
      </w:r>
      <w:r w:rsidR="00FE12B1">
        <w:rPr>
          <w:rFonts w:ascii="Times New Roman" w:hAnsi="Times New Roman" w:cs="Times New Roman"/>
          <w:sz w:val="24"/>
          <w:szCs w:val="24"/>
        </w:rPr>
        <w:t>(last viewed Jan. 24, 2018).</w:t>
      </w:r>
    </w:p>
    <w:p w:rsidR="00121FAC" w:rsidRDefault="00121FAC" w:rsidP="00F25481">
      <w:pPr>
        <w:spacing w:after="0" w:line="240" w:lineRule="auto"/>
        <w:rPr>
          <w:rFonts w:ascii="Times New Roman" w:hAnsi="Times New Roman" w:cs="Times New Roman"/>
          <w:sz w:val="24"/>
          <w:szCs w:val="24"/>
        </w:rPr>
      </w:pPr>
    </w:p>
    <w:p w:rsidR="00121FAC" w:rsidRDefault="00121FAC" w:rsidP="00F2548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xml:space="preserve">Medco Health Solutions – Defense MSJ </w:t>
      </w:r>
      <w:r w:rsidR="00C41B43">
        <w:rPr>
          <w:rFonts w:ascii="Times New Roman" w:hAnsi="Times New Roman" w:cs="Times New Roman"/>
          <w:sz w:val="24"/>
          <w:szCs w:val="24"/>
        </w:rPr>
        <w:t>u</w:t>
      </w:r>
      <w:r>
        <w:rPr>
          <w:rFonts w:ascii="Times New Roman" w:hAnsi="Times New Roman" w:cs="Times New Roman"/>
          <w:sz w:val="24"/>
          <w:szCs w:val="24"/>
        </w:rPr>
        <w:t xml:space="preserve">pheld on </w:t>
      </w:r>
      <w:r w:rsidR="00C41B43">
        <w:rPr>
          <w:rFonts w:ascii="Times New Roman" w:hAnsi="Times New Roman" w:cs="Times New Roman"/>
          <w:sz w:val="24"/>
          <w:szCs w:val="24"/>
        </w:rPr>
        <w:t>a</w:t>
      </w:r>
      <w:r>
        <w:rPr>
          <w:rFonts w:ascii="Times New Roman" w:hAnsi="Times New Roman" w:cs="Times New Roman"/>
          <w:sz w:val="24"/>
          <w:szCs w:val="24"/>
        </w:rPr>
        <w:t>ppeal – Jan. 19, 2018</w:t>
      </w:r>
    </w:p>
    <w:p w:rsidR="00121FAC" w:rsidRDefault="00121FAC" w:rsidP="00F2548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11" w:history="1">
        <w:r w:rsidRPr="00C756BA">
          <w:rPr>
            <w:rStyle w:val="Hyperlink"/>
            <w:rFonts w:ascii="Times New Roman" w:hAnsi="Times New Roman" w:cs="Times New Roman"/>
            <w:sz w:val="24"/>
            <w:szCs w:val="24"/>
          </w:rPr>
          <w:t>http://www2.ca3.uscourts.gov/opinarch/171152p.pdf</w:t>
        </w:r>
      </w:hyperlink>
      <w:r>
        <w:rPr>
          <w:rFonts w:ascii="Times New Roman" w:hAnsi="Times New Roman" w:cs="Times New Roman"/>
          <w:sz w:val="24"/>
          <w:szCs w:val="24"/>
        </w:rPr>
        <w:t xml:space="preserve"> </w:t>
      </w:r>
      <w:r w:rsidR="00FE12B1">
        <w:rPr>
          <w:rFonts w:ascii="Times New Roman" w:hAnsi="Times New Roman" w:cs="Times New Roman"/>
          <w:sz w:val="24"/>
          <w:szCs w:val="24"/>
        </w:rPr>
        <w:t>(last viewed Jan. 24, 2018).</w:t>
      </w:r>
    </w:p>
    <w:p w:rsidR="00121FAC" w:rsidRDefault="00121FAC" w:rsidP="00F25481">
      <w:pPr>
        <w:spacing w:after="0" w:line="240" w:lineRule="auto"/>
        <w:rPr>
          <w:rFonts w:ascii="Times New Roman" w:hAnsi="Times New Roman" w:cs="Times New Roman"/>
          <w:sz w:val="24"/>
          <w:szCs w:val="24"/>
        </w:rPr>
      </w:pPr>
    </w:p>
    <w:p w:rsidR="00121FAC" w:rsidRPr="006200B6" w:rsidRDefault="00121FAC" w:rsidP="00F25481">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6200B6">
        <w:rPr>
          <w:rFonts w:ascii="Times New Roman" w:hAnsi="Times New Roman" w:cs="Times New Roman"/>
          <w:b/>
          <w:sz w:val="24"/>
          <w:szCs w:val="24"/>
        </w:rPr>
        <w:t>2.</w:t>
      </w:r>
      <w:r w:rsidRPr="006200B6">
        <w:rPr>
          <w:rFonts w:ascii="Times New Roman" w:hAnsi="Times New Roman" w:cs="Times New Roman"/>
          <w:b/>
          <w:sz w:val="24"/>
          <w:szCs w:val="24"/>
        </w:rPr>
        <w:tab/>
      </w:r>
      <w:r w:rsidRPr="006200B6">
        <w:rPr>
          <w:rFonts w:ascii="Times New Roman" w:hAnsi="Times New Roman" w:cs="Times New Roman"/>
          <w:b/>
          <w:i/>
          <w:sz w:val="24"/>
          <w:szCs w:val="24"/>
        </w:rPr>
        <w:t xml:space="preserve">Escobar </w:t>
      </w:r>
      <w:r w:rsidRPr="006200B6">
        <w:rPr>
          <w:rFonts w:ascii="Times New Roman" w:hAnsi="Times New Roman" w:cs="Times New Roman"/>
          <w:b/>
          <w:sz w:val="24"/>
          <w:szCs w:val="24"/>
        </w:rPr>
        <w:t>Materiality</w:t>
      </w:r>
    </w:p>
    <w:p w:rsidR="00121FAC" w:rsidRDefault="00121FAC" w:rsidP="00F25481">
      <w:pPr>
        <w:spacing w:after="0" w:line="240" w:lineRule="auto"/>
        <w:rPr>
          <w:rFonts w:ascii="Times New Roman" w:hAnsi="Times New Roman" w:cs="Times New Roman"/>
          <w:sz w:val="24"/>
          <w:szCs w:val="24"/>
        </w:rPr>
      </w:pPr>
    </w:p>
    <w:p w:rsidR="00C71A68" w:rsidRPr="00C71A68" w:rsidRDefault="00121FAC" w:rsidP="00C71A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00C71A68">
        <w:rPr>
          <w:rFonts w:ascii="Times New Roman" w:hAnsi="Times New Roman" w:cs="Times New Roman"/>
          <w:sz w:val="24"/>
          <w:szCs w:val="24"/>
        </w:rPr>
        <w:t xml:space="preserve">Compliance with Stark is material - </w:t>
      </w:r>
      <w:r w:rsidR="00C71A68" w:rsidRPr="000E7AEA">
        <w:rPr>
          <w:rFonts w:ascii="Times New Roman" w:hAnsi="Times New Roman" w:cs="Times New Roman"/>
          <w:i/>
          <w:sz w:val="24"/>
          <w:szCs w:val="24"/>
        </w:rPr>
        <w:t>United States ex rel. Tullio Emanuele v. Medicor Associates, Inc.</w:t>
      </w:r>
      <w:r w:rsidR="00C71A68" w:rsidRPr="00C71A68">
        <w:rPr>
          <w:rFonts w:ascii="Times New Roman" w:hAnsi="Times New Roman" w:cs="Times New Roman"/>
          <w:sz w:val="24"/>
          <w:szCs w:val="24"/>
        </w:rPr>
        <w:t>, 2017 WL 1001581 (W D. Pa. Mar. 15, 2017). Available at</w:t>
      </w:r>
    </w:p>
    <w:p w:rsidR="00121FAC" w:rsidRDefault="006E43D6" w:rsidP="00C71A68">
      <w:pPr>
        <w:spacing w:after="0" w:line="240" w:lineRule="auto"/>
        <w:rPr>
          <w:rFonts w:ascii="Times New Roman" w:hAnsi="Times New Roman" w:cs="Times New Roman"/>
          <w:sz w:val="24"/>
          <w:szCs w:val="24"/>
        </w:rPr>
      </w:pPr>
      <w:hyperlink r:id="rId12" w:history="1">
        <w:r w:rsidR="00C71A68" w:rsidRPr="0017733F">
          <w:rPr>
            <w:rStyle w:val="Hyperlink"/>
            <w:rFonts w:ascii="Times New Roman" w:hAnsi="Times New Roman" w:cs="Times New Roman"/>
            <w:sz w:val="24"/>
            <w:szCs w:val="24"/>
          </w:rPr>
          <w:t>http://bit.ly/2rSydr9</w:t>
        </w:r>
      </w:hyperlink>
      <w:r w:rsidR="00C71A68">
        <w:rPr>
          <w:rFonts w:ascii="Times New Roman" w:hAnsi="Times New Roman" w:cs="Times New Roman"/>
          <w:sz w:val="24"/>
          <w:szCs w:val="24"/>
        </w:rPr>
        <w:t xml:space="preserve"> </w:t>
      </w:r>
      <w:r w:rsidR="00FE12B1">
        <w:rPr>
          <w:rFonts w:ascii="Times New Roman" w:hAnsi="Times New Roman" w:cs="Times New Roman"/>
          <w:sz w:val="24"/>
          <w:szCs w:val="24"/>
        </w:rPr>
        <w:t>(last viewed Jan. 24, 2018)</w:t>
      </w:r>
      <w:r w:rsidR="00C71A68" w:rsidRPr="00C71A68">
        <w:rPr>
          <w:rFonts w:ascii="Times New Roman" w:hAnsi="Times New Roman" w:cs="Times New Roman"/>
          <w:sz w:val="24"/>
          <w:szCs w:val="24"/>
        </w:rPr>
        <w:t>.</w:t>
      </w:r>
    </w:p>
    <w:p w:rsidR="00C71A68" w:rsidRDefault="00C71A68" w:rsidP="00C71A68">
      <w:pPr>
        <w:spacing w:after="0" w:line="240" w:lineRule="auto"/>
        <w:rPr>
          <w:rFonts w:ascii="Times New Roman" w:hAnsi="Times New Roman" w:cs="Times New Roman"/>
          <w:sz w:val="24"/>
          <w:szCs w:val="24"/>
        </w:rPr>
      </w:pPr>
    </w:p>
    <w:p w:rsidR="00C71A68" w:rsidRDefault="00C71A68" w:rsidP="00C71A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T</w:t>
      </w:r>
      <w:r w:rsidRPr="00C71A68">
        <w:rPr>
          <w:rFonts w:ascii="Times New Roman" w:hAnsi="Times New Roman" w:cs="Times New Roman"/>
          <w:sz w:val="24"/>
          <w:szCs w:val="24"/>
        </w:rPr>
        <w:t>he Stark Law expressly prohibits Medicare</w:t>
      </w:r>
      <w:r>
        <w:rPr>
          <w:rFonts w:ascii="Times New Roman" w:hAnsi="Times New Roman" w:cs="Times New Roman"/>
          <w:sz w:val="24"/>
          <w:szCs w:val="24"/>
        </w:rPr>
        <w:t xml:space="preserve"> </w:t>
      </w:r>
      <w:r w:rsidRPr="00C71A68">
        <w:rPr>
          <w:rFonts w:ascii="Times New Roman" w:hAnsi="Times New Roman" w:cs="Times New Roman"/>
          <w:sz w:val="24"/>
          <w:szCs w:val="24"/>
        </w:rPr>
        <w:t>from paying claims for designated health services</w:t>
      </w:r>
      <w:r>
        <w:rPr>
          <w:rFonts w:ascii="Times New Roman" w:hAnsi="Times New Roman" w:cs="Times New Roman"/>
          <w:sz w:val="24"/>
          <w:szCs w:val="24"/>
        </w:rPr>
        <w:t xml:space="preserve"> </w:t>
      </w:r>
      <w:r w:rsidRPr="00C71A68">
        <w:rPr>
          <w:rFonts w:ascii="Times New Roman" w:hAnsi="Times New Roman" w:cs="Times New Roman"/>
          <w:sz w:val="24"/>
          <w:szCs w:val="24"/>
        </w:rPr>
        <w:t>furnished pursuant to physician referrals</w:t>
      </w:r>
      <w:r>
        <w:rPr>
          <w:rFonts w:ascii="Times New Roman" w:hAnsi="Times New Roman" w:cs="Times New Roman"/>
          <w:sz w:val="24"/>
          <w:szCs w:val="24"/>
        </w:rPr>
        <w:t xml:space="preserve"> </w:t>
      </w:r>
      <w:r w:rsidRPr="00C71A68">
        <w:rPr>
          <w:rFonts w:ascii="Times New Roman" w:hAnsi="Times New Roman" w:cs="Times New Roman"/>
          <w:sz w:val="24"/>
          <w:szCs w:val="24"/>
        </w:rPr>
        <w:t>unless a Stark Law exception applies.</w:t>
      </w:r>
      <w:r>
        <w:rPr>
          <w:rFonts w:ascii="Times New Roman" w:hAnsi="Times New Roman" w:cs="Times New Roman"/>
          <w:sz w:val="24"/>
          <w:szCs w:val="24"/>
        </w:rPr>
        <w:t xml:space="preserve">  </w:t>
      </w:r>
      <w:r w:rsidRPr="00C71A68">
        <w:rPr>
          <w:rFonts w:ascii="Times New Roman" w:hAnsi="Times New Roman" w:cs="Times New Roman"/>
          <w:sz w:val="24"/>
          <w:szCs w:val="24"/>
        </w:rPr>
        <w:t>42 U.S.C. §§ 1395nn(a)(1), (g)(1).</w:t>
      </w:r>
    </w:p>
    <w:p w:rsidR="00C71A68" w:rsidRDefault="00C71A68" w:rsidP="00C71A68">
      <w:pPr>
        <w:spacing w:after="0" w:line="240" w:lineRule="auto"/>
        <w:rPr>
          <w:rFonts w:ascii="Times New Roman" w:hAnsi="Times New Roman" w:cs="Times New Roman"/>
          <w:sz w:val="24"/>
          <w:szCs w:val="24"/>
        </w:rPr>
      </w:pPr>
    </w:p>
    <w:p w:rsidR="00C71A68" w:rsidRDefault="00C71A68"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r w:rsidR="00C41B43">
        <w:rPr>
          <w:rFonts w:ascii="Times New Roman" w:hAnsi="Times New Roman" w:cs="Times New Roman"/>
          <w:sz w:val="24"/>
          <w:szCs w:val="24"/>
        </w:rPr>
        <w:tab/>
        <w:t>C</w:t>
      </w:r>
      <w:r w:rsidR="00C41B43" w:rsidRPr="00C41B43">
        <w:rPr>
          <w:rFonts w:ascii="Times New Roman" w:hAnsi="Times New Roman" w:cs="Times New Roman"/>
          <w:sz w:val="24"/>
          <w:szCs w:val="24"/>
        </w:rPr>
        <w:t>ompliance with the Stark Law</w:t>
      </w:r>
      <w:r w:rsidR="00C41B43">
        <w:rPr>
          <w:rFonts w:ascii="Times New Roman" w:hAnsi="Times New Roman" w:cs="Times New Roman"/>
          <w:sz w:val="24"/>
          <w:szCs w:val="24"/>
        </w:rPr>
        <w:t xml:space="preserve"> </w:t>
      </w:r>
      <w:r w:rsidR="00C41B43" w:rsidRPr="00C41B43">
        <w:rPr>
          <w:rFonts w:ascii="Times New Roman" w:hAnsi="Times New Roman" w:cs="Times New Roman"/>
          <w:sz w:val="24"/>
          <w:szCs w:val="24"/>
        </w:rPr>
        <w:t>goes to the “essence of the bargain” that providers</w:t>
      </w:r>
      <w:r w:rsidR="00C41B43">
        <w:rPr>
          <w:rFonts w:ascii="Times New Roman" w:hAnsi="Times New Roman" w:cs="Times New Roman"/>
          <w:sz w:val="24"/>
          <w:szCs w:val="24"/>
        </w:rPr>
        <w:t xml:space="preserve"> </w:t>
      </w:r>
      <w:r w:rsidR="00C41B43" w:rsidRPr="00C41B43">
        <w:rPr>
          <w:rFonts w:ascii="Times New Roman" w:hAnsi="Times New Roman" w:cs="Times New Roman"/>
          <w:sz w:val="24"/>
          <w:szCs w:val="24"/>
        </w:rPr>
        <w:t>strike with federal healthcare programs.</w:t>
      </w:r>
    </w:p>
    <w:p w:rsidR="00C41B43" w:rsidRDefault="00C41B43" w:rsidP="00C41B43">
      <w:pPr>
        <w:spacing w:after="0" w:line="240" w:lineRule="auto"/>
        <w:rPr>
          <w:rFonts w:ascii="Times New Roman" w:hAnsi="Times New Roman" w:cs="Times New Roman"/>
          <w:sz w:val="24"/>
          <w:szCs w:val="24"/>
        </w:rPr>
      </w:pPr>
    </w:p>
    <w:p w:rsidR="00C41B43" w:rsidRDefault="00C41B43"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t>T</w:t>
      </w:r>
      <w:r w:rsidRPr="00C41B43">
        <w:rPr>
          <w:rFonts w:ascii="Times New Roman" w:hAnsi="Times New Roman" w:cs="Times New Roman"/>
          <w:sz w:val="24"/>
          <w:szCs w:val="24"/>
        </w:rPr>
        <w:t>he United States has consistently</w:t>
      </w:r>
      <w:r>
        <w:rPr>
          <w:rFonts w:ascii="Times New Roman" w:hAnsi="Times New Roman" w:cs="Times New Roman"/>
          <w:sz w:val="24"/>
          <w:szCs w:val="24"/>
        </w:rPr>
        <w:t xml:space="preserve"> </w:t>
      </w:r>
      <w:r w:rsidRPr="00C41B43">
        <w:rPr>
          <w:rFonts w:ascii="Times New Roman" w:hAnsi="Times New Roman" w:cs="Times New Roman"/>
          <w:sz w:val="24"/>
          <w:szCs w:val="24"/>
        </w:rPr>
        <w:t>and repeatedly pursued FCA claims for violations</w:t>
      </w:r>
      <w:r>
        <w:rPr>
          <w:rFonts w:ascii="Times New Roman" w:hAnsi="Times New Roman" w:cs="Times New Roman"/>
          <w:sz w:val="24"/>
          <w:szCs w:val="24"/>
        </w:rPr>
        <w:t xml:space="preserve"> </w:t>
      </w:r>
      <w:r w:rsidRPr="00C41B43">
        <w:rPr>
          <w:rFonts w:ascii="Times New Roman" w:hAnsi="Times New Roman" w:cs="Times New Roman"/>
          <w:sz w:val="24"/>
          <w:szCs w:val="24"/>
        </w:rPr>
        <w:t>of the Stark Law.</w:t>
      </w:r>
    </w:p>
    <w:p w:rsidR="00C41B43" w:rsidRDefault="00C41B43" w:rsidP="00C41B43">
      <w:pPr>
        <w:spacing w:after="0" w:line="240" w:lineRule="auto"/>
        <w:rPr>
          <w:rFonts w:ascii="Times New Roman" w:hAnsi="Times New Roman" w:cs="Times New Roman"/>
          <w:sz w:val="24"/>
          <w:szCs w:val="24"/>
        </w:rPr>
      </w:pPr>
    </w:p>
    <w:p w:rsidR="00C41B43" w:rsidRDefault="00C41B43"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r>
        <w:rPr>
          <w:rFonts w:ascii="Times New Roman" w:hAnsi="Times New Roman" w:cs="Times New Roman"/>
          <w:sz w:val="24"/>
          <w:szCs w:val="24"/>
        </w:rPr>
        <w:tab/>
        <w:t>A</w:t>
      </w:r>
      <w:r w:rsidRPr="00C41B43">
        <w:rPr>
          <w:rFonts w:ascii="Times New Roman" w:hAnsi="Times New Roman" w:cs="Times New Roman"/>
          <w:sz w:val="24"/>
          <w:szCs w:val="24"/>
        </w:rPr>
        <w:t>lleged violations of Stark’s</w:t>
      </w:r>
      <w:r>
        <w:rPr>
          <w:rFonts w:ascii="Times New Roman" w:hAnsi="Times New Roman" w:cs="Times New Roman"/>
          <w:sz w:val="24"/>
          <w:szCs w:val="24"/>
        </w:rPr>
        <w:t xml:space="preserve"> </w:t>
      </w:r>
      <w:r w:rsidRPr="00C41B43">
        <w:rPr>
          <w:rFonts w:ascii="Times New Roman" w:hAnsi="Times New Roman" w:cs="Times New Roman"/>
          <w:sz w:val="24"/>
          <w:szCs w:val="24"/>
        </w:rPr>
        <w:t>“writing” requirement, if proven, would not</w:t>
      </w:r>
      <w:r>
        <w:rPr>
          <w:rFonts w:ascii="Times New Roman" w:hAnsi="Times New Roman" w:cs="Times New Roman"/>
          <w:sz w:val="24"/>
          <w:szCs w:val="24"/>
        </w:rPr>
        <w:t xml:space="preserve"> </w:t>
      </w:r>
      <w:r w:rsidRPr="00C41B43">
        <w:rPr>
          <w:rFonts w:ascii="Times New Roman" w:hAnsi="Times New Roman" w:cs="Times New Roman"/>
          <w:sz w:val="24"/>
          <w:szCs w:val="24"/>
        </w:rPr>
        <w:t>be “minor or insubstantial,” but rather would</w:t>
      </w:r>
      <w:r>
        <w:rPr>
          <w:rFonts w:ascii="Times New Roman" w:hAnsi="Times New Roman" w:cs="Times New Roman"/>
          <w:sz w:val="24"/>
          <w:szCs w:val="24"/>
        </w:rPr>
        <w:t xml:space="preserve"> </w:t>
      </w:r>
      <w:r w:rsidRPr="00C41B43">
        <w:rPr>
          <w:rFonts w:ascii="Times New Roman" w:hAnsi="Times New Roman" w:cs="Times New Roman"/>
          <w:sz w:val="24"/>
          <w:szCs w:val="24"/>
        </w:rPr>
        <w:t>constitute significant violations of the Stark</w:t>
      </w:r>
      <w:r>
        <w:rPr>
          <w:rFonts w:ascii="Times New Roman" w:hAnsi="Times New Roman" w:cs="Times New Roman"/>
          <w:sz w:val="24"/>
          <w:szCs w:val="24"/>
        </w:rPr>
        <w:t xml:space="preserve"> </w:t>
      </w:r>
      <w:r w:rsidRPr="00C41B43">
        <w:rPr>
          <w:rFonts w:ascii="Times New Roman" w:hAnsi="Times New Roman" w:cs="Times New Roman"/>
          <w:sz w:val="24"/>
          <w:szCs w:val="24"/>
        </w:rPr>
        <w:t>Law.</w:t>
      </w:r>
    </w:p>
    <w:p w:rsidR="00C41B43" w:rsidRDefault="00C41B43" w:rsidP="00C41B43">
      <w:pPr>
        <w:spacing w:after="0" w:line="240" w:lineRule="auto"/>
        <w:rPr>
          <w:rFonts w:ascii="Times New Roman" w:hAnsi="Times New Roman" w:cs="Times New Roman"/>
          <w:sz w:val="24"/>
          <w:szCs w:val="24"/>
        </w:rPr>
      </w:pPr>
    </w:p>
    <w:p w:rsidR="00C41B43" w:rsidRDefault="00C41B43"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b.</w:t>
      </w:r>
      <w:r>
        <w:rPr>
          <w:rFonts w:ascii="Times New Roman" w:hAnsi="Times New Roman" w:cs="Times New Roman"/>
          <w:sz w:val="24"/>
          <w:szCs w:val="24"/>
        </w:rPr>
        <w:tab/>
        <w:t xml:space="preserve">Compliance with federal kickback law is </w:t>
      </w:r>
      <w:r w:rsidR="00F66BC7">
        <w:rPr>
          <w:rFonts w:ascii="Times New Roman" w:hAnsi="Times New Roman" w:cs="Times New Roman"/>
          <w:i/>
          <w:sz w:val="24"/>
          <w:szCs w:val="24"/>
        </w:rPr>
        <w:t xml:space="preserve">per se </w:t>
      </w:r>
      <w:r>
        <w:rPr>
          <w:rFonts w:ascii="Times New Roman" w:hAnsi="Times New Roman" w:cs="Times New Roman"/>
          <w:sz w:val="24"/>
          <w:szCs w:val="24"/>
        </w:rPr>
        <w:t xml:space="preserve">material - </w:t>
      </w:r>
      <w:r w:rsidR="00FE12B1" w:rsidRPr="000E7AEA">
        <w:rPr>
          <w:rFonts w:ascii="Times New Roman" w:hAnsi="Times New Roman" w:cs="Times New Roman"/>
          <w:i/>
          <w:sz w:val="24"/>
          <w:szCs w:val="24"/>
        </w:rPr>
        <w:t>U.S., et al., Plaintiffs, ex rel. Scarlett Lutz, et al., Plaintiffs-Relators, v. Berkeley Heartlab, Inc., et al., Defendants</w:t>
      </w:r>
      <w:r w:rsidR="00FE12B1" w:rsidRPr="00FE12B1">
        <w:rPr>
          <w:rFonts w:ascii="Times New Roman" w:hAnsi="Times New Roman" w:cs="Times New Roman"/>
          <w:sz w:val="24"/>
          <w:szCs w:val="24"/>
        </w:rPr>
        <w:t>, No. CV 9:14-230-RMG, 2017 WL 6015574, at *2 (D.S.C. Dec. 4, 2017)</w:t>
      </w:r>
      <w:r w:rsidR="00FE12B1">
        <w:rPr>
          <w:rFonts w:ascii="Times New Roman" w:hAnsi="Times New Roman" w:cs="Times New Roman"/>
          <w:sz w:val="24"/>
          <w:szCs w:val="24"/>
        </w:rPr>
        <w:t xml:space="preserve">.  Available at </w:t>
      </w:r>
      <w:hyperlink r:id="rId13" w:history="1">
        <w:r w:rsidR="00FE12B1" w:rsidRPr="0017733F">
          <w:rPr>
            <w:rStyle w:val="Hyperlink"/>
            <w:rFonts w:ascii="Times New Roman" w:hAnsi="Times New Roman" w:cs="Times New Roman"/>
            <w:sz w:val="24"/>
            <w:szCs w:val="24"/>
          </w:rPr>
          <w:t>https://www.leagle.com/decision/infdco20171205d18</w:t>
        </w:r>
      </w:hyperlink>
      <w:r w:rsidR="00FE12B1">
        <w:rPr>
          <w:rFonts w:ascii="Times New Roman" w:hAnsi="Times New Roman" w:cs="Times New Roman"/>
          <w:sz w:val="24"/>
          <w:szCs w:val="24"/>
        </w:rPr>
        <w:t xml:space="preserve"> (last viewed Jan. 24, 2018)</w:t>
      </w:r>
      <w:r w:rsidR="004D73F5">
        <w:rPr>
          <w:rFonts w:ascii="Times New Roman" w:hAnsi="Times New Roman" w:cs="Times New Roman"/>
          <w:sz w:val="24"/>
          <w:szCs w:val="24"/>
        </w:rPr>
        <w:t>.</w:t>
      </w:r>
      <w:r w:rsidR="00A80169">
        <w:rPr>
          <w:rFonts w:ascii="Times New Roman" w:hAnsi="Times New Roman" w:cs="Times New Roman"/>
          <w:sz w:val="24"/>
          <w:szCs w:val="24"/>
        </w:rPr>
        <w:t xml:space="preserve"> </w:t>
      </w:r>
      <w:r w:rsidR="004D73F5">
        <w:rPr>
          <w:rFonts w:ascii="Times New Roman" w:hAnsi="Times New Roman" w:cs="Times New Roman"/>
          <w:sz w:val="24"/>
          <w:szCs w:val="24"/>
        </w:rPr>
        <w:t xml:space="preserve">Government won civil FCA verdicts against three individuals – summary available at </w:t>
      </w:r>
      <w:hyperlink r:id="rId14" w:history="1">
        <w:r w:rsidR="004D73F5" w:rsidRPr="00D83206">
          <w:rPr>
            <w:rStyle w:val="Hyperlink"/>
            <w:rFonts w:ascii="Times New Roman" w:hAnsi="Times New Roman" w:cs="Times New Roman"/>
            <w:sz w:val="24"/>
            <w:szCs w:val="24"/>
          </w:rPr>
          <w:t>https://www.justice.gov/usao-sc/pr/midlands-area-man-found-liable-51-million-health-care-fraud</w:t>
        </w:r>
      </w:hyperlink>
      <w:r w:rsidR="004D73F5">
        <w:rPr>
          <w:rFonts w:ascii="Times New Roman" w:hAnsi="Times New Roman" w:cs="Times New Roman"/>
          <w:sz w:val="24"/>
          <w:szCs w:val="24"/>
        </w:rPr>
        <w:t xml:space="preserve"> (</w:t>
      </w:r>
      <w:r w:rsidR="000E7AEA">
        <w:rPr>
          <w:rFonts w:ascii="Times New Roman" w:hAnsi="Times New Roman" w:cs="Times New Roman"/>
          <w:sz w:val="24"/>
          <w:szCs w:val="24"/>
        </w:rPr>
        <w:t xml:space="preserve">Feb. 1, 2018, last viewed </w:t>
      </w:r>
      <w:r w:rsidR="004D73F5">
        <w:rPr>
          <w:rFonts w:ascii="Times New Roman" w:hAnsi="Times New Roman" w:cs="Times New Roman"/>
          <w:sz w:val="24"/>
          <w:szCs w:val="24"/>
        </w:rPr>
        <w:t>Feb. 13, 2018).</w:t>
      </w:r>
    </w:p>
    <w:p w:rsidR="00FE12B1" w:rsidRDefault="00FE12B1" w:rsidP="00C41B43">
      <w:pPr>
        <w:spacing w:after="0" w:line="240" w:lineRule="auto"/>
        <w:rPr>
          <w:rFonts w:ascii="Times New Roman" w:hAnsi="Times New Roman" w:cs="Times New Roman"/>
          <w:sz w:val="24"/>
          <w:szCs w:val="24"/>
        </w:rPr>
      </w:pPr>
    </w:p>
    <w:p w:rsidR="00FE12B1" w:rsidRDefault="00FE12B1"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Violation of federal kickback law</w:t>
      </w:r>
      <w:r w:rsidRPr="00FE12B1">
        <w:rPr>
          <w:rFonts w:ascii="Times New Roman" w:hAnsi="Times New Roman" w:cs="Times New Roman"/>
          <w:sz w:val="24"/>
          <w:szCs w:val="24"/>
        </w:rPr>
        <w:t xml:space="preserve"> is a far cry from an insubstantial regulatory violation like requiring that government contractors buy American–made staplers rather than foreign staplers.   Indeed, Congress has made it a felony offense punishable by up to five years in prison.   42 U.S.C. § 1320a–7b</w:t>
      </w:r>
      <w:r>
        <w:rPr>
          <w:rFonts w:ascii="Times New Roman" w:hAnsi="Times New Roman" w:cs="Times New Roman"/>
          <w:sz w:val="24"/>
          <w:szCs w:val="24"/>
        </w:rPr>
        <w:t>.</w:t>
      </w:r>
    </w:p>
    <w:p w:rsidR="00FE12B1" w:rsidRDefault="00FE12B1" w:rsidP="00C41B43">
      <w:pPr>
        <w:spacing w:after="0" w:line="240" w:lineRule="auto"/>
        <w:rPr>
          <w:rFonts w:ascii="Times New Roman" w:hAnsi="Times New Roman" w:cs="Times New Roman"/>
          <w:sz w:val="24"/>
          <w:szCs w:val="24"/>
        </w:rPr>
      </w:pPr>
    </w:p>
    <w:p w:rsidR="00FE12B1" w:rsidRDefault="00FE12B1"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 xml:space="preserve">Kickback </w:t>
      </w:r>
      <w:r w:rsidRPr="00FE12B1">
        <w:rPr>
          <w:rFonts w:ascii="Times New Roman" w:hAnsi="Times New Roman" w:cs="Times New Roman"/>
          <w:sz w:val="24"/>
          <w:szCs w:val="24"/>
        </w:rPr>
        <w:t>compliance is critical to the government’s decision to pay federal health benefits claims.</w:t>
      </w:r>
    </w:p>
    <w:p w:rsidR="00FE12B1" w:rsidRDefault="00FE12B1" w:rsidP="00C41B43">
      <w:pPr>
        <w:spacing w:after="0" w:line="240" w:lineRule="auto"/>
        <w:rPr>
          <w:rFonts w:ascii="Times New Roman" w:hAnsi="Times New Roman" w:cs="Times New Roman"/>
          <w:sz w:val="24"/>
          <w:szCs w:val="24"/>
        </w:rPr>
      </w:pPr>
    </w:p>
    <w:p w:rsidR="00FE12B1" w:rsidRDefault="00FE12B1"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r>
      <w:r w:rsidR="00572482" w:rsidRPr="00572482">
        <w:rPr>
          <w:rFonts w:ascii="Times New Roman" w:hAnsi="Times New Roman" w:cs="Times New Roman"/>
          <w:sz w:val="24"/>
          <w:szCs w:val="24"/>
        </w:rPr>
        <w:t>The Patient Protection and Affordable Care Act (PPACA) clarified the law to specify that “a claim that includes items or services resulting from a violation of [</w:t>
      </w:r>
      <w:r w:rsidR="00572482">
        <w:rPr>
          <w:rFonts w:ascii="Times New Roman" w:hAnsi="Times New Roman" w:cs="Times New Roman"/>
          <w:sz w:val="24"/>
          <w:szCs w:val="24"/>
        </w:rPr>
        <w:t>federal kickback law</w:t>
      </w:r>
      <w:r w:rsidR="00572482" w:rsidRPr="00572482">
        <w:rPr>
          <w:rFonts w:ascii="Times New Roman" w:hAnsi="Times New Roman" w:cs="Times New Roman"/>
          <w:sz w:val="24"/>
          <w:szCs w:val="24"/>
        </w:rPr>
        <w:t>] constitutes a false or fraudulent claim.”</w:t>
      </w:r>
      <w:r w:rsidR="00572482">
        <w:rPr>
          <w:rFonts w:ascii="Times New Roman" w:hAnsi="Times New Roman" w:cs="Times New Roman"/>
          <w:sz w:val="24"/>
          <w:szCs w:val="24"/>
        </w:rPr>
        <w:t xml:space="preserve">  </w:t>
      </w:r>
      <w:r w:rsidR="00572482" w:rsidRPr="00572482">
        <w:rPr>
          <w:rFonts w:ascii="Times New Roman" w:hAnsi="Times New Roman" w:cs="Times New Roman"/>
          <w:sz w:val="24"/>
          <w:szCs w:val="24"/>
        </w:rPr>
        <w:t>Pub. L. No. 111-148, 124 Stat. 119 (2010) (effective March 23, 2010).</w:t>
      </w:r>
    </w:p>
    <w:p w:rsidR="00572482" w:rsidRDefault="00572482" w:rsidP="00C41B43">
      <w:pPr>
        <w:spacing w:after="0" w:line="240" w:lineRule="auto"/>
        <w:rPr>
          <w:rFonts w:ascii="Times New Roman" w:hAnsi="Times New Roman" w:cs="Times New Roman"/>
          <w:sz w:val="24"/>
          <w:szCs w:val="24"/>
        </w:rPr>
      </w:pPr>
    </w:p>
    <w:p w:rsidR="00572482" w:rsidRDefault="00572482"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r>
        <w:rPr>
          <w:rFonts w:ascii="Times New Roman" w:hAnsi="Times New Roman" w:cs="Times New Roman"/>
          <w:sz w:val="24"/>
          <w:szCs w:val="24"/>
        </w:rPr>
        <w:tab/>
        <w:t xml:space="preserve">PPACA also made clear </w:t>
      </w:r>
      <w:r w:rsidRPr="00572482">
        <w:rPr>
          <w:rFonts w:ascii="Times New Roman" w:hAnsi="Times New Roman" w:cs="Times New Roman"/>
          <w:sz w:val="24"/>
          <w:szCs w:val="24"/>
        </w:rPr>
        <w:t xml:space="preserve">that compliance with </w:t>
      </w:r>
      <w:r>
        <w:rPr>
          <w:rFonts w:ascii="Times New Roman" w:hAnsi="Times New Roman" w:cs="Times New Roman"/>
          <w:sz w:val="24"/>
          <w:szCs w:val="24"/>
        </w:rPr>
        <w:t xml:space="preserve">federal kickback law </w:t>
      </w:r>
      <w:r w:rsidRPr="00572482">
        <w:rPr>
          <w:rFonts w:ascii="Times New Roman" w:hAnsi="Times New Roman" w:cs="Times New Roman"/>
          <w:sz w:val="24"/>
          <w:szCs w:val="24"/>
        </w:rPr>
        <w:t>is a precondition to the payment of claims submitted to these programs, and not merely a condition of participation in the programs.</w:t>
      </w:r>
      <w:r>
        <w:rPr>
          <w:rFonts w:ascii="Times New Roman" w:hAnsi="Times New Roman" w:cs="Times New Roman"/>
          <w:sz w:val="24"/>
          <w:szCs w:val="24"/>
        </w:rPr>
        <w:t xml:space="preserve">  </w:t>
      </w:r>
      <w:r w:rsidRPr="00572482">
        <w:rPr>
          <w:rFonts w:ascii="Times New Roman" w:hAnsi="Times New Roman" w:cs="Times New Roman"/>
          <w:sz w:val="24"/>
          <w:szCs w:val="24"/>
        </w:rPr>
        <w:t xml:space="preserve">  </w:t>
      </w:r>
      <w:r w:rsidRPr="00572482">
        <w:rPr>
          <w:rFonts w:ascii="Times New Roman" w:hAnsi="Times New Roman" w:cs="Times New Roman"/>
          <w:i/>
          <w:sz w:val="24"/>
          <w:szCs w:val="24"/>
        </w:rPr>
        <w:t>See U.S. ex rel. Kester v. Novartis Pharm. Corp</w:t>
      </w:r>
      <w:r w:rsidRPr="00572482">
        <w:rPr>
          <w:rFonts w:ascii="Times New Roman" w:hAnsi="Times New Roman" w:cs="Times New Roman"/>
          <w:sz w:val="24"/>
          <w:szCs w:val="24"/>
        </w:rPr>
        <w:t>., 41 F. Supp. 3d 323, 33</w:t>
      </w:r>
      <w:r>
        <w:rPr>
          <w:rFonts w:ascii="Times New Roman" w:hAnsi="Times New Roman" w:cs="Times New Roman"/>
          <w:sz w:val="24"/>
          <w:szCs w:val="24"/>
        </w:rPr>
        <w:t>1</w:t>
      </w:r>
      <w:r w:rsidRPr="00572482">
        <w:rPr>
          <w:rFonts w:ascii="Times New Roman" w:hAnsi="Times New Roman" w:cs="Times New Roman"/>
          <w:sz w:val="24"/>
          <w:szCs w:val="24"/>
        </w:rPr>
        <w:t xml:space="preserve"> (S.D.N.Y. 2014)</w:t>
      </w:r>
      <w:r>
        <w:rPr>
          <w:rFonts w:ascii="Times New Roman" w:hAnsi="Times New Roman" w:cs="Times New Roman"/>
          <w:sz w:val="24"/>
          <w:szCs w:val="24"/>
        </w:rPr>
        <w:t>.</w:t>
      </w:r>
    </w:p>
    <w:p w:rsidR="00572482" w:rsidRDefault="00572482" w:rsidP="00C41B43">
      <w:pPr>
        <w:spacing w:after="0" w:line="240" w:lineRule="auto"/>
        <w:rPr>
          <w:rFonts w:ascii="Times New Roman" w:hAnsi="Times New Roman" w:cs="Times New Roman"/>
          <w:sz w:val="24"/>
          <w:szCs w:val="24"/>
        </w:rPr>
      </w:pPr>
    </w:p>
    <w:p w:rsidR="0028764A" w:rsidRDefault="00572482"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r>
      <w:r w:rsidRPr="00572482">
        <w:rPr>
          <w:rFonts w:ascii="Times New Roman" w:hAnsi="Times New Roman" w:cs="Times New Roman"/>
          <w:sz w:val="24"/>
          <w:szCs w:val="24"/>
        </w:rPr>
        <w:t xml:space="preserve">The government routinely punishes </w:t>
      </w:r>
      <w:r>
        <w:rPr>
          <w:rFonts w:ascii="Times New Roman" w:hAnsi="Times New Roman" w:cs="Times New Roman"/>
          <w:sz w:val="24"/>
          <w:szCs w:val="24"/>
        </w:rPr>
        <w:t xml:space="preserve">kickback </w:t>
      </w:r>
      <w:r w:rsidRPr="00572482">
        <w:rPr>
          <w:rFonts w:ascii="Times New Roman" w:hAnsi="Times New Roman" w:cs="Times New Roman"/>
          <w:sz w:val="24"/>
          <w:szCs w:val="24"/>
        </w:rPr>
        <w:t xml:space="preserve">violations through criminal proceedings and civil proceedings to recoup funds.   The U.S. Department of Health and Human Services has for years issued “Special Fraud Alerts” specifically warning about </w:t>
      </w:r>
      <w:r w:rsidR="00800D3E">
        <w:rPr>
          <w:rFonts w:ascii="Times New Roman" w:hAnsi="Times New Roman" w:cs="Times New Roman"/>
          <w:sz w:val="24"/>
          <w:szCs w:val="24"/>
        </w:rPr>
        <w:t>kickback</w:t>
      </w:r>
      <w:r w:rsidRPr="00572482">
        <w:rPr>
          <w:rFonts w:ascii="Times New Roman" w:hAnsi="Times New Roman" w:cs="Times New Roman"/>
          <w:sz w:val="24"/>
          <w:szCs w:val="24"/>
        </w:rPr>
        <w:t xml:space="preserve"> violations in reimbursement requests, including, for example, for laboratory </w:t>
      </w:r>
      <w:r w:rsidR="007C1941">
        <w:rPr>
          <w:rFonts w:ascii="Times New Roman" w:hAnsi="Times New Roman" w:cs="Times New Roman"/>
          <w:sz w:val="24"/>
          <w:szCs w:val="24"/>
        </w:rPr>
        <w:t>payments</w:t>
      </w:r>
      <w:r w:rsidRPr="00572482">
        <w:rPr>
          <w:rFonts w:ascii="Times New Roman" w:hAnsi="Times New Roman" w:cs="Times New Roman"/>
          <w:sz w:val="24"/>
          <w:szCs w:val="24"/>
        </w:rPr>
        <w:t>.</w:t>
      </w:r>
      <w:r w:rsidR="00800D3E">
        <w:rPr>
          <w:rFonts w:ascii="Times New Roman" w:hAnsi="Times New Roman" w:cs="Times New Roman"/>
          <w:sz w:val="24"/>
          <w:szCs w:val="24"/>
        </w:rPr>
        <w:t xml:space="preserve">  </w:t>
      </w:r>
      <w:r w:rsidR="00800D3E">
        <w:rPr>
          <w:rFonts w:ascii="Times New Roman" w:hAnsi="Times New Roman" w:cs="Times New Roman"/>
          <w:i/>
          <w:sz w:val="24"/>
          <w:szCs w:val="24"/>
        </w:rPr>
        <w:t xml:space="preserve">See </w:t>
      </w:r>
      <w:r w:rsidRPr="00572482">
        <w:rPr>
          <w:rFonts w:ascii="Times New Roman" w:hAnsi="Times New Roman" w:cs="Times New Roman"/>
          <w:sz w:val="24"/>
          <w:szCs w:val="24"/>
        </w:rPr>
        <w:t xml:space="preserve"> </w:t>
      </w:r>
      <w:hyperlink r:id="rId15" w:history="1">
        <w:r w:rsidR="00800D3E" w:rsidRPr="0017733F">
          <w:rPr>
            <w:rStyle w:val="Hyperlink"/>
            <w:rFonts w:ascii="Times New Roman" w:hAnsi="Times New Roman" w:cs="Times New Roman"/>
            <w:sz w:val="24"/>
            <w:szCs w:val="24"/>
          </w:rPr>
          <w:t>https://oig.hhs.gov/fraud/docs/alertsandbulletins/2014/OIG_SFA_Laboratory_Payments_06252014.pdf</w:t>
        </w:r>
      </w:hyperlink>
      <w:r w:rsidR="00800D3E">
        <w:rPr>
          <w:rFonts w:ascii="Times New Roman" w:hAnsi="Times New Roman" w:cs="Times New Roman"/>
          <w:sz w:val="24"/>
          <w:szCs w:val="24"/>
        </w:rPr>
        <w:t xml:space="preserve"> (last viewed Jan. 24, 2018).</w:t>
      </w:r>
    </w:p>
    <w:p w:rsidR="0028764A" w:rsidRDefault="0028764A" w:rsidP="00C41B43">
      <w:pPr>
        <w:spacing w:after="0" w:line="240" w:lineRule="auto"/>
        <w:rPr>
          <w:rFonts w:ascii="Times New Roman" w:hAnsi="Times New Roman" w:cs="Times New Roman"/>
          <w:sz w:val="24"/>
          <w:szCs w:val="24"/>
        </w:rPr>
      </w:pPr>
    </w:p>
    <w:p w:rsidR="00572482" w:rsidRDefault="0028764A"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w:t>
      </w:r>
      <w:r>
        <w:rPr>
          <w:rFonts w:ascii="Times New Roman" w:hAnsi="Times New Roman" w:cs="Times New Roman"/>
          <w:sz w:val="24"/>
          <w:szCs w:val="24"/>
        </w:rPr>
        <w:tab/>
        <w:t>E</w:t>
      </w:r>
      <w:r w:rsidRPr="0028764A">
        <w:rPr>
          <w:rFonts w:ascii="Times New Roman" w:hAnsi="Times New Roman" w:cs="Times New Roman"/>
          <w:sz w:val="24"/>
          <w:szCs w:val="24"/>
        </w:rPr>
        <w:t xml:space="preserve">ven assuming that the United States had actual knowledge of the defendants’ kickback payments and continued to pay claims, such action does not undermine a materiality finding, especially where, as in this case, the government had elected to file an FCA suit against the </w:t>
      </w:r>
      <w:r>
        <w:rPr>
          <w:rFonts w:ascii="Times New Roman" w:hAnsi="Times New Roman" w:cs="Times New Roman"/>
          <w:sz w:val="24"/>
          <w:szCs w:val="24"/>
        </w:rPr>
        <w:t>kickback</w:t>
      </w:r>
      <w:r w:rsidRPr="0028764A">
        <w:rPr>
          <w:rFonts w:ascii="Times New Roman" w:hAnsi="Times New Roman" w:cs="Times New Roman"/>
          <w:sz w:val="24"/>
          <w:szCs w:val="24"/>
        </w:rPr>
        <w:t xml:space="preserve"> conspirators demonstrating government action that the defendants’ conduct is material</w:t>
      </w:r>
      <w:r w:rsidRPr="0028764A">
        <w:rPr>
          <w:rFonts w:ascii="Times New Roman" w:hAnsi="Times New Roman" w:cs="Times New Roman"/>
          <w:i/>
          <w:sz w:val="24"/>
          <w:szCs w:val="24"/>
        </w:rPr>
        <w:t>.</w:t>
      </w:r>
      <w:r w:rsidR="00572482" w:rsidRPr="0028764A">
        <w:rPr>
          <w:rFonts w:ascii="Times New Roman" w:hAnsi="Times New Roman" w:cs="Times New Roman"/>
          <w:i/>
          <w:sz w:val="24"/>
          <w:szCs w:val="24"/>
        </w:rPr>
        <w:t xml:space="preserve"> </w:t>
      </w:r>
      <w:r w:rsidRPr="0028764A">
        <w:rPr>
          <w:rFonts w:ascii="Times New Roman" w:hAnsi="Times New Roman" w:cs="Times New Roman"/>
          <w:i/>
          <w:sz w:val="24"/>
          <w:szCs w:val="24"/>
        </w:rPr>
        <w:t>U.S., et al., Plaintiffs, ex rel. Scarlett Lutz, et al., Plaintiffs-Relators, v. Berkeley Heartlab, Inc., et al., Defendants.</w:t>
      </w:r>
      <w:r w:rsidRPr="0028764A">
        <w:rPr>
          <w:rFonts w:ascii="Times New Roman" w:hAnsi="Times New Roman" w:cs="Times New Roman"/>
          <w:sz w:val="24"/>
          <w:szCs w:val="24"/>
        </w:rPr>
        <w:t>, No. CV 9:14-230-RMG, United States Omnibus Opposition to Defendants’ Motions for Summary Judgment, Doc. 522, p. 23 (D.S.C. Jul. 7, 2017).</w:t>
      </w:r>
    </w:p>
    <w:p w:rsidR="00123B67" w:rsidRDefault="00123B67" w:rsidP="00C41B43">
      <w:pPr>
        <w:spacing w:after="0" w:line="240" w:lineRule="auto"/>
        <w:rPr>
          <w:rFonts w:ascii="Times New Roman" w:hAnsi="Times New Roman" w:cs="Times New Roman"/>
          <w:sz w:val="24"/>
          <w:szCs w:val="24"/>
        </w:rPr>
      </w:pPr>
    </w:p>
    <w:p w:rsidR="00123B67" w:rsidRDefault="007401A7" w:rsidP="00C41B4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3.</w:t>
      </w:r>
      <w:r>
        <w:rPr>
          <w:rFonts w:ascii="Times New Roman" w:hAnsi="Times New Roman" w:cs="Times New Roman"/>
          <w:b/>
          <w:sz w:val="24"/>
          <w:szCs w:val="24"/>
        </w:rPr>
        <w:tab/>
        <w:t>HDL Bankruptcy and Related Litigation</w:t>
      </w:r>
    </w:p>
    <w:p w:rsidR="007401A7" w:rsidRDefault="007401A7" w:rsidP="00C41B43">
      <w:pPr>
        <w:spacing w:after="0" w:line="240" w:lineRule="auto"/>
        <w:rPr>
          <w:rFonts w:ascii="Times New Roman" w:hAnsi="Times New Roman" w:cs="Times New Roman"/>
          <w:b/>
          <w:sz w:val="24"/>
          <w:szCs w:val="24"/>
        </w:rPr>
      </w:pPr>
    </w:p>
    <w:p w:rsidR="007401A7" w:rsidRDefault="007401A7" w:rsidP="00C41B43">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t>a.</w:t>
      </w:r>
      <w:r>
        <w:rPr>
          <w:rFonts w:ascii="Times New Roman" w:hAnsi="Times New Roman" w:cs="Times New Roman"/>
          <w:b/>
          <w:sz w:val="24"/>
          <w:szCs w:val="24"/>
        </w:rPr>
        <w:tab/>
      </w:r>
      <w:r w:rsidRPr="007401A7">
        <w:rPr>
          <w:rFonts w:ascii="Times New Roman" w:hAnsi="Times New Roman" w:cs="Times New Roman"/>
          <w:sz w:val="24"/>
          <w:szCs w:val="24"/>
        </w:rPr>
        <w:t>HDL Kickback Settlement</w:t>
      </w:r>
      <w:r>
        <w:rPr>
          <w:rFonts w:ascii="Times New Roman" w:hAnsi="Times New Roman" w:cs="Times New Roman"/>
          <w:b/>
          <w:sz w:val="24"/>
          <w:szCs w:val="24"/>
        </w:rPr>
        <w:t xml:space="preserve"> - </w:t>
      </w:r>
      <w:hyperlink r:id="rId16" w:history="1">
        <w:r w:rsidRPr="00D83206">
          <w:rPr>
            <w:rStyle w:val="Hyperlink"/>
            <w:rFonts w:ascii="Times New Roman" w:hAnsi="Times New Roman" w:cs="Times New Roman"/>
            <w:sz w:val="24"/>
            <w:szCs w:val="24"/>
          </w:rPr>
          <w:t>https://www.justice.gov/opa/pr/two-cardiovascular-disease-testing-laboratories-pay-485-million-settle-claims-paying</w:t>
        </w:r>
      </w:hyperlink>
      <w:r>
        <w:rPr>
          <w:rFonts w:ascii="Times New Roman" w:hAnsi="Times New Roman" w:cs="Times New Roman"/>
          <w:sz w:val="24"/>
          <w:szCs w:val="24"/>
        </w:rPr>
        <w:t xml:space="preserve"> (Apr. 9, 2015, last viewed Feb. 13, 2018).</w:t>
      </w:r>
    </w:p>
    <w:p w:rsidR="007401A7" w:rsidRDefault="007401A7" w:rsidP="00C41B43">
      <w:pPr>
        <w:spacing w:after="0" w:line="240" w:lineRule="auto"/>
        <w:rPr>
          <w:rFonts w:ascii="Times New Roman" w:hAnsi="Times New Roman" w:cs="Times New Roman"/>
          <w:sz w:val="24"/>
          <w:szCs w:val="24"/>
        </w:rPr>
      </w:pPr>
    </w:p>
    <w:p w:rsidR="007401A7" w:rsidRDefault="007401A7"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xml:space="preserve">HDL Bankruptcy - </w:t>
      </w:r>
      <w:hyperlink r:id="rId17" w:history="1">
        <w:r w:rsidRPr="00D83206">
          <w:rPr>
            <w:rStyle w:val="Hyperlink"/>
            <w:rFonts w:ascii="Times New Roman" w:hAnsi="Times New Roman" w:cs="Times New Roman"/>
            <w:sz w:val="24"/>
            <w:szCs w:val="24"/>
          </w:rPr>
          <w:t>http://www.modernhealthcare.com/article/20150609/NEWS/150609890</w:t>
        </w:r>
      </w:hyperlink>
      <w:r>
        <w:rPr>
          <w:rFonts w:ascii="Times New Roman" w:hAnsi="Times New Roman" w:cs="Times New Roman"/>
          <w:sz w:val="24"/>
          <w:szCs w:val="24"/>
        </w:rPr>
        <w:t xml:space="preserve"> (June 9, 2015, last viewed Feb. 13, 2018).</w:t>
      </w:r>
    </w:p>
    <w:p w:rsidR="007401A7" w:rsidRDefault="007401A7" w:rsidP="00C41B43">
      <w:pPr>
        <w:spacing w:after="0" w:line="240" w:lineRule="auto"/>
        <w:rPr>
          <w:rFonts w:ascii="Times New Roman" w:hAnsi="Times New Roman" w:cs="Times New Roman"/>
          <w:sz w:val="24"/>
          <w:szCs w:val="24"/>
        </w:rPr>
      </w:pPr>
    </w:p>
    <w:p w:rsidR="007401A7" w:rsidRDefault="007401A7"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 xml:space="preserve">HDL Bankruptcy Trustee Sues Physicians to Recover Kickbacks -  </w:t>
      </w:r>
      <w:hyperlink r:id="rId18" w:history="1">
        <w:r w:rsidRPr="00D83206">
          <w:rPr>
            <w:rStyle w:val="Hyperlink"/>
            <w:rFonts w:ascii="Times New Roman" w:hAnsi="Times New Roman" w:cs="Times New Roman"/>
            <w:sz w:val="24"/>
            <w:szCs w:val="24"/>
          </w:rPr>
          <w:t>http://www.cardiobrief.org/2017/06/12/trustee-for-zombie-lab-sues-thousands-of-doctors-and-dozens-of-nonprofits/</w:t>
        </w:r>
      </w:hyperlink>
      <w:r>
        <w:rPr>
          <w:rFonts w:ascii="Times New Roman" w:hAnsi="Times New Roman" w:cs="Times New Roman"/>
          <w:sz w:val="24"/>
          <w:szCs w:val="24"/>
        </w:rPr>
        <w:t xml:space="preserve"> (Jun. 12, 2017, last viewed Feb. 13, 2018).</w:t>
      </w:r>
    </w:p>
    <w:p w:rsidR="007401A7" w:rsidRDefault="007401A7" w:rsidP="00C41B43">
      <w:pPr>
        <w:spacing w:after="0" w:line="240" w:lineRule="auto"/>
        <w:rPr>
          <w:rFonts w:ascii="Times New Roman" w:hAnsi="Times New Roman" w:cs="Times New Roman"/>
          <w:sz w:val="24"/>
          <w:szCs w:val="24"/>
        </w:rPr>
      </w:pPr>
    </w:p>
    <w:p w:rsidR="007401A7" w:rsidRDefault="007401A7" w:rsidP="00C41B4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4.</w:t>
      </w:r>
      <w:r>
        <w:rPr>
          <w:rFonts w:ascii="Times New Roman" w:hAnsi="Times New Roman" w:cs="Times New Roman"/>
          <w:b/>
          <w:sz w:val="24"/>
          <w:szCs w:val="24"/>
        </w:rPr>
        <w:tab/>
      </w:r>
      <w:r w:rsidR="00F812B0">
        <w:rPr>
          <w:rFonts w:ascii="Times New Roman" w:hAnsi="Times New Roman" w:cs="Times New Roman"/>
          <w:b/>
          <w:sz w:val="24"/>
          <w:szCs w:val="24"/>
        </w:rPr>
        <w:t>(</w:t>
      </w:r>
      <w:r>
        <w:rPr>
          <w:rFonts w:ascii="Times New Roman" w:hAnsi="Times New Roman" w:cs="Times New Roman"/>
          <w:b/>
          <w:sz w:val="24"/>
          <w:szCs w:val="24"/>
        </w:rPr>
        <w:t>Stark</w:t>
      </w:r>
      <w:r w:rsidR="00F812B0">
        <w:rPr>
          <w:rFonts w:ascii="Times New Roman" w:hAnsi="Times New Roman" w:cs="Times New Roman"/>
          <w:b/>
          <w:sz w:val="24"/>
          <w:szCs w:val="24"/>
        </w:rPr>
        <w:t>)</w:t>
      </w:r>
      <w:r>
        <w:rPr>
          <w:rFonts w:ascii="Times New Roman" w:hAnsi="Times New Roman" w:cs="Times New Roman"/>
          <w:b/>
          <w:sz w:val="24"/>
          <w:szCs w:val="24"/>
        </w:rPr>
        <w:t xml:space="preserve"> Self-</w:t>
      </w:r>
      <w:r w:rsidR="00F812B0">
        <w:rPr>
          <w:rFonts w:ascii="Times New Roman" w:hAnsi="Times New Roman" w:cs="Times New Roman"/>
          <w:b/>
          <w:sz w:val="24"/>
          <w:szCs w:val="24"/>
        </w:rPr>
        <w:t xml:space="preserve">Referral </w:t>
      </w:r>
      <w:r>
        <w:rPr>
          <w:rFonts w:ascii="Times New Roman" w:hAnsi="Times New Roman" w:cs="Times New Roman"/>
          <w:b/>
          <w:sz w:val="24"/>
          <w:szCs w:val="24"/>
        </w:rPr>
        <w:t>Disclosure Protocol (S</w:t>
      </w:r>
      <w:r w:rsidR="00F812B0">
        <w:rPr>
          <w:rFonts w:ascii="Times New Roman" w:hAnsi="Times New Roman" w:cs="Times New Roman"/>
          <w:b/>
          <w:sz w:val="24"/>
          <w:szCs w:val="24"/>
        </w:rPr>
        <w:t>RDP)</w:t>
      </w:r>
    </w:p>
    <w:p w:rsidR="007401A7" w:rsidRDefault="007401A7" w:rsidP="00C41B43">
      <w:pPr>
        <w:spacing w:after="0" w:line="240" w:lineRule="auto"/>
        <w:rPr>
          <w:rFonts w:ascii="Times New Roman" w:hAnsi="Times New Roman" w:cs="Times New Roman"/>
          <w:b/>
          <w:sz w:val="24"/>
          <w:szCs w:val="24"/>
        </w:rPr>
      </w:pPr>
    </w:p>
    <w:p w:rsidR="007401A7" w:rsidRDefault="007401A7" w:rsidP="00C41B43">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w:t>
      </w:r>
      <w:r>
        <w:rPr>
          <w:rFonts w:ascii="Times New Roman" w:hAnsi="Times New Roman" w:cs="Times New Roman"/>
          <w:sz w:val="24"/>
          <w:szCs w:val="24"/>
        </w:rPr>
        <w:tab/>
      </w:r>
      <w:r w:rsidR="00F812B0">
        <w:rPr>
          <w:rFonts w:ascii="Times New Roman" w:hAnsi="Times New Roman" w:cs="Times New Roman"/>
          <w:sz w:val="24"/>
          <w:szCs w:val="24"/>
        </w:rPr>
        <w:t xml:space="preserve">New CMS forms for SRDP became effective June 1, 2017 - </w:t>
      </w:r>
      <w:hyperlink r:id="rId19" w:history="1">
        <w:r w:rsidR="00F812B0" w:rsidRPr="00D83206">
          <w:rPr>
            <w:rStyle w:val="Hyperlink"/>
            <w:rFonts w:ascii="Times New Roman" w:hAnsi="Times New Roman" w:cs="Times New Roman"/>
            <w:sz w:val="24"/>
            <w:szCs w:val="24"/>
          </w:rPr>
          <w:t>https://www.cms.gov/Medicare/Fraud-and-Abuse/PhysicianSelfReferral/Self_Referral_Disclosure_Protocol.html</w:t>
        </w:r>
      </w:hyperlink>
      <w:r w:rsidR="00F812B0">
        <w:rPr>
          <w:rFonts w:ascii="Times New Roman" w:hAnsi="Times New Roman" w:cs="Times New Roman"/>
          <w:sz w:val="24"/>
          <w:szCs w:val="24"/>
        </w:rPr>
        <w:t xml:space="preserve"> (last viewed Feb. 13, 2018).</w:t>
      </w:r>
    </w:p>
    <w:p w:rsidR="00F812B0" w:rsidRDefault="00F812B0" w:rsidP="00C41B43">
      <w:pPr>
        <w:spacing w:after="0" w:line="240" w:lineRule="auto"/>
        <w:rPr>
          <w:rFonts w:ascii="Times New Roman" w:hAnsi="Times New Roman" w:cs="Times New Roman"/>
          <w:sz w:val="24"/>
          <w:szCs w:val="24"/>
        </w:rPr>
      </w:pPr>
    </w:p>
    <w:p w:rsidR="00F812B0" w:rsidRPr="007401A7" w:rsidRDefault="00F812B0"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xml:space="preserve">Data on SRDP settlements - </w:t>
      </w:r>
      <w:hyperlink r:id="rId20" w:history="1">
        <w:r w:rsidR="008000BA" w:rsidRPr="00F830A7">
          <w:rPr>
            <w:rStyle w:val="Hyperlink"/>
            <w:rFonts w:ascii="Times New Roman" w:hAnsi="Times New Roman" w:cs="Times New Roman"/>
            <w:sz w:val="24"/>
            <w:szCs w:val="24"/>
          </w:rPr>
          <w:t>https://www.cms.gov/Medicare/Fraud-and-Abuse/PhysicianSelfReferral/Self-Referral-Disclosure-Protocol-Settlements.html</w:t>
        </w:r>
      </w:hyperlink>
      <w:r w:rsidR="008000BA">
        <w:rPr>
          <w:rFonts w:ascii="Times New Roman" w:hAnsi="Times New Roman" w:cs="Times New Roman"/>
          <w:sz w:val="24"/>
          <w:szCs w:val="24"/>
        </w:rPr>
        <w:t xml:space="preserve"> (Feb.</w:t>
      </w:r>
      <w:r>
        <w:rPr>
          <w:rFonts w:ascii="Times New Roman" w:hAnsi="Times New Roman" w:cs="Times New Roman"/>
          <w:sz w:val="24"/>
          <w:szCs w:val="24"/>
        </w:rPr>
        <w:t xml:space="preserve"> 2, 2018, last viewed Feb. 13, 2018).</w:t>
      </w:r>
    </w:p>
    <w:p w:rsidR="0012486E" w:rsidRDefault="0012486E" w:rsidP="00C41B43">
      <w:pPr>
        <w:spacing w:after="0" w:line="240" w:lineRule="auto"/>
        <w:rPr>
          <w:rFonts w:ascii="Times New Roman" w:hAnsi="Times New Roman" w:cs="Times New Roman"/>
          <w:sz w:val="24"/>
          <w:szCs w:val="24"/>
        </w:rPr>
      </w:pPr>
    </w:p>
    <w:p w:rsidR="0012486E" w:rsidRPr="006200B6" w:rsidRDefault="0012486E" w:rsidP="00C41B43">
      <w:pPr>
        <w:spacing w:after="0" w:line="240" w:lineRule="auto"/>
        <w:rPr>
          <w:rFonts w:ascii="Times New Roman" w:hAnsi="Times New Roman" w:cs="Times New Roman"/>
          <w:b/>
          <w:sz w:val="24"/>
          <w:szCs w:val="24"/>
        </w:rPr>
      </w:pPr>
      <w:r w:rsidRPr="006200B6">
        <w:rPr>
          <w:rFonts w:ascii="Times New Roman" w:hAnsi="Times New Roman" w:cs="Times New Roman"/>
          <w:b/>
          <w:sz w:val="24"/>
          <w:szCs w:val="24"/>
        </w:rPr>
        <w:t>B.</w:t>
      </w:r>
      <w:r w:rsidRPr="006200B6">
        <w:rPr>
          <w:rFonts w:ascii="Times New Roman" w:hAnsi="Times New Roman" w:cs="Times New Roman"/>
          <w:b/>
          <w:sz w:val="24"/>
          <w:szCs w:val="24"/>
        </w:rPr>
        <w:tab/>
      </w:r>
      <w:r w:rsidRPr="006200B6">
        <w:rPr>
          <w:rFonts w:ascii="Times New Roman" w:hAnsi="Times New Roman" w:cs="Times New Roman"/>
          <w:b/>
          <w:sz w:val="24"/>
          <w:szCs w:val="24"/>
          <w:u w:val="single"/>
        </w:rPr>
        <w:t>What changes to expect from the Trump Administration</w:t>
      </w:r>
    </w:p>
    <w:p w:rsidR="0012486E" w:rsidRDefault="0012486E" w:rsidP="00C41B43">
      <w:pPr>
        <w:spacing w:after="0" w:line="240" w:lineRule="auto"/>
        <w:rPr>
          <w:rFonts w:ascii="Times New Roman" w:hAnsi="Times New Roman" w:cs="Times New Roman"/>
          <w:sz w:val="24"/>
          <w:szCs w:val="24"/>
        </w:rPr>
      </w:pPr>
    </w:p>
    <w:p w:rsidR="0012486E" w:rsidRDefault="0012486E"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r>
      <w:r w:rsidR="00E732D7" w:rsidRPr="00E732D7">
        <w:rPr>
          <w:rFonts w:ascii="Times New Roman" w:hAnsi="Times New Roman" w:cs="Times New Roman"/>
          <w:b/>
          <w:sz w:val="24"/>
          <w:szCs w:val="24"/>
        </w:rPr>
        <w:t>Fraud Fighting Will Continue.</w:t>
      </w:r>
      <w:r w:rsidR="00E732D7">
        <w:rPr>
          <w:rFonts w:ascii="Times New Roman" w:hAnsi="Times New Roman" w:cs="Times New Roman"/>
          <w:sz w:val="24"/>
          <w:szCs w:val="24"/>
        </w:rPr>
        <w:t xml:space="preserve">  </w:t>
      </w:r>
      <w:r>
        <w:rPr>
          <w:rFonts w:ascii="Times New Roman" w:hAnsi="Times New Roman" w:cs="Times New Roman"/>
          <w:sz w:val="24"/>
          <w:szCs w:val="24"/>
        </w:rPr>
        <w:t>Fraud fighting has bi-partisan support, no changes expected to the False Claims Act.</w:t>
      </w:r>
      <w:r w:rsidR="007677C4">
        <w:rPr>
          <w:rFonts w:ascii="Times New Roman" w:hAnsi="Times New Roman" w:cs="Times New Roman"/>
          <w:sz w:val="24"/>
          <w:szCs w:val="24"/>
        </w:rPr>
        <w:t xml:space="preserve">  The federal government needs the money</w:t>
      </w:r>
      <w:r w:rsidR="00062DA5">
        <w:rPr>
          <w:rFonts w:ascii="Times New Roman" w:hAnsi="Times New Roman" w:cs="Times New Roman"/>
          <w:sz w:val="24"/>
          <w:szCs w:val="24"/>
        </w:rPr>
        <w:t xml:space="preserve"> more than ever after the estimated </w:t>
      </w:r>
      <w:r w:rsidR="00A446F7">
        <w:rPr>
          <w:rFonts w:ascii="Times New Roman" w:hAnsi="Times New Roman" w:cs="Times New Roman"/>
          <w:sz w:val="24"/>
          <w:szCs w:val="24"/>
        </w:rPr>
        <w:t xml:space="preserve">net </w:t>
      </w:r>
      <w:r w:rsidR="00A429B0">
        <w:rPr>
          <w:rFonts w:ascii="Times New Roman" w:hAnsi="Times New Roman" w:cs="Times New Roman"/>
          <w:sz w:val="24"/>
          <w:szCs w:val="24"/>
        </w:rPr>
        <w:t xml:space="preserve">budget </w:t>
      </w:r>
      <w:r w:rsidR="00A446F7">
        <w:rPr>
          <w:rFonts w:ascii="Times New Roman" w:hAnsi="Times New Roman" w:cs="Times New Roman"/>
          <w:sz w:val="24"/>
          <w:szCs w:val="24"/>
        </w:rPr>
        <w:t xml:space="preserve">impact </w:t>
      </w:r>
      <w:r w:rsidR="00062DA5">
        <w:rPr>
          <w:rFonts w:ascii="Times New Roman" w:hAnsi="Times New Roman" w:cs="Times New Roman"/>
          <w:sz w:val="24"/>
          <w:szCs w:val="24"/>
        </w:rPr>
        <w:t>of the Tax Cuts and Jobs Act</w:t>
      </w:r>
      <w:r w:rsidR="00A429B0">
        <w:rPr>
          <w:rFonts w:ascii="Times New Roman" w:hAnsi="Times New Roman" w:cs="Times New Roman"/>
          <w:sz w:val="24"/>
          <w:szCs w:val="24"/>
        </w:rPr>
        <w:t xml:space="preserve"> of </w:t>
      </w:r>
      <w:r w:rsidR="00A446F7">
        <w:rPr>
          <w:rFonts w:ascii="Times New Roman" w:hAnsi="Times New Roman" w:cs="Times New Roman"/>
          <w:sz w:val="24"/>
          <w:szCs w:val="24"/>
        </w:rPr>
        <w:t xml:space="preserve">negative </w:t>
      </w:r>
      <w:r w:rsidR="00A429B0">
        <w:rPr>
          <w:rFonts w:ascii="Times New Roman" w:hAnsi="Times New Roman" w:cs="Times New Roman"/>
          <w:sz w:val="24"/>
          <w:szCs w:val="24"/>
        </w:rPr>
        <w:t>$1.5 trillion</w:t>
      </w:r>
      <w:r w:rsidR="007677C4">
        <w:rPr>
          <w:rFonts w:ascii="Times New Roman" w:hAnsi="Times New Roman" w:cs="Times New Roman"/>
          <w:sz w:val="24"/>
          <w:szCs w:val="24"/>
        </w:rPr>
        <w:t>.</w:t>
      </w:r>
      <w:r w:rsidR="00062DA5">
        <w:rPr>
          <w:rFonts w:ascii="Times New Roman" w:hAnsi="Times New Roman" w:cs="Times New Roman"/>
          <w:sz w:val="24"/>
          <w:szCs w:val="24"/>
        </w:rPr>
        <w:t xml:space="preserve"> </w:t>
      </w:r>
      <w:hyperlink r:id="rId21" w:history="1">
        <w:r w:rsidR="00062DA5" w:rsidRPr="0017733F">
          <w:rPr>
            <w:rStyle w:val="Hyperlink"/>
            <w:rFonts w:ascii="Times New Roman" w:hAnsi="Times New Roman" w:cs="Times New Roman"/>
            <w:sz w:val="24"/>
            <w:szCs w:val="24"/>
          </w:rPr>
          <w:t>https://www.jct.gov/publications.html?func=startdown&amp;id=5053</w:t>
        </w:r>
      </w:hyperlink>
      <w:r w:rsidR="00062DA5">
        <w:rPr>
          <w:rFonts w:ascii="Times New Roman" w:hAnsi="Times New Roman" w:cs="Times New Roman"/>
          <w:sz w:val="24"/>
          <w:szCs w:val="24"/>
        </w:rPr>
        <w:t xml:space="preserve">  (last viewed Jan. 24, 2018).</w:t>
      </w:r>
    </w:p>
    <w:p w:rsidR="0012486E" w:rsidRDefault="0012486E" w:rsidP="00C41B43">
      <w:pPr>
        <w:spacing w:after="0" w:line="240" w:lineRule="auto"/>
        <w:rPr>
          <w:rFonts w:ascii="Times New Roman" w:hAnsi="Times New Roman" w:cs="Times New Roman"/>
          <w:sz w:val="24"/>
          <w:szCs w:val="24"/>
        </w:rPr>
      </w:pPr>
    </w:p>
    <w:p w:rsidR="0012486E" w:rsidRDefault="0012486E"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00E732D7" w:rsidRPr="00E732D7">
        <w:rPr>
          <w:rFonts w:ascii="Times New Roman" w:hAnsi="Times New Roman" w:cs="Times New Roman"/>
          <w:b/>
          <w:sz w:val="24"/>
          <w:szCs w:val="24"/>
        </w:rPr>
        <w:t>FCA Has Strong Congressional Support</w:t>
      </w:r>
      <w:r w:rsidR="00E732D7">
        <w:rPr>
          <w:rFonts w:ascii="Times New Roman" w:hAnsi="Times New Roman" w:cs="Times New Roman"/>
          <w:sz w:val="24"/>
          <w:szCs w:val="24"/>
        </w:rPr>
        <w:t xml:space="preserve">.  </w:t>
      </w:r>
      <w:r w:rsidRPr="00E732D7">
        <w:rPr>
          <w:rFonts w:ascii="Times New Roman" w:hAnsi="Times New Roman" w:cs="Times New Roman"/>
          <w:sz w:val="24"/>
          <w:szCs w:val="24"/>
        </w:rPr>
        <w:t>Senator</w:t>
      </w:r>
      <w:r>
        <w:rPr>
          <w:rFonts w:ascii="Times New Roman" w:hAnsi="Times New Roman" w:cs="Times New Roman"/>
          <w:sz w:val="24"/>
          <w:szCs w:val="24"/>
        </w:rPr>
        <w:t xml:space="preserve"> Grassley (R-Iowa) is a strong supporter of the False Claims Act and a powerful senator as Chairman of the Senate Judiciary</w:t>
      </w:r>
      <w:r w:rsidR="008B3213">
        <w:rPr>
          <w:rFonts w:ascii="Times New Roman" w:hAnsi="Times New Roman" w:cs="Times New Roman"/>
          <w:sz w:val="24"/>
          <w:szCs w:val="24"/>
        </w:rPr>
        <w:t xml:space="preserve"> Committee</w:t>
      </w:r>
      <w:r>
        <w:rPr>
          <w:rFonts w:ascii="Times New Roman" w:hAnsi="Times New Roman" w:cs="Times New Roman"/>
          <w:sz w:val="24"/>
          <w:szCs w:val="24"/>
        </w:rPr>
        <w:t>.</w:t>
      </w:r>
      <w:r w:rsidR="008B3213">
        <w:rPr>
          <w:rFonts w:ascii="Times New Roman" w:hAnsi="Times New Roman" w:cs="Times New Roman"/>
          <w:sz w:val="24"/>
          <w:szCs w:val="24"/>
        </w:rPr>
        <w:t xml:space="preserve">  </w:t>
      </w:r>
      <w:r w:rsidR="008B3213">
        <w:rPr>
          <w:rFonts w:ascii="Times New Roman" w:hAnsi="Times New Roman" w:cs="Times New Roman"/>
          <w:i/>
          <w:sz w:val="24"/>
          <w:szCs w:val="24"/>
        </w:rPr>
        <w:t xml:space="preserve">See </w:t>
      </w:r>
      <w:hyperlink r:id="rId22" w:history="1">
        <w:r w:rsidR="008B3213" w:rsidRPr="0017733F">
          <w:rPr>
            <w:rStyle w:val="Hyperlink"/>
            <w:rFonts w:ascii="Times New Roman" w:hAnsi="Times New Roman" w:cs="Times New Roman"/>
            <w:sz w:val="24"/>
            <w:szCs w:val="24"/>
          </w:rPr>
          <w:t>https://www.grassley.senate.gov/news/news-releases/grassley-scotus-decision-important-step-reducing-fraud-against-taxpayers</w:t>
        </w:r>
      </w:hyperlink>
      <w:r w:rsidR="008B3213">
        <w:rPr>
          <w:rFonts w:ascii="Times New Roman" w:hAnsi="Times New Roman" w:cs="Times New Roman"/>
          <w:i/>
          <w:sz w:val="24"/>
          <w:szCs w:val="24"/>
        </w:rPr>
        <w:t xml:space="preserve"> </w:t>
      </w:r>
      <w:r w:rsidR="008B3213">
        <w:rPr>
          <w:rFonts w:ascii="Times New Roman" w:hAnsi="Times New Roman" w:cs="Times New Roman"/>
          <w:sz w:val="24"/>
          <w:szCs w:val="24"/>
        </w:rPr>
        <w:t>(last viewed Jan. 24, 2018).</w:t>
      </w:r>
    </w:p>
    <w:p w:rsidR="00E953D1" w:rsidRDefault="00E953D1" w:rsidP="00C41B43">
      <w:pPr>
        <w:spacing w:after="0" w:line="240" w:lineRule="auto"/>
        <w:rPr>
          <w:rFonts w:ascii="Times New Roman" w:hAnsi="Times New Roman" w:cs="Times New Roman"/>
          <w:sz w:val="24"/>
          <w:szCs w:val="24"/>
        </w:rPr>
      </w:pPr>
    </w:p>
    <w:p w:rsidR="00E953D1" w:rsidRDefault="00E953D1"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b/>
          <w:sz w:val="24"/>
          <w:szCs w:val="24"/>
        </w:rPr>
        <w:t>DOJ May Seek to Dismiss FCA Complaints.</w:t>
      </w:r>
      <w:r>
        <w:rPr>
          <w:rFonts w:ascii="Times New Roman" w:hAnsi="Times New Roman" w:cs="Times New Roman"/>
          <w:sz w:val="24"/>
          <w:szCs w:val="24"/>
        </w:rPr>
        <w:t xml:space="preserve">  </w:t>
      </w:r>
      <w:r w:rsidR="00BC279C">
        <w:rPr>
          <w:rFonts w:ascii="Times New Roman" w:hAnsi="Times New Roman" w:cs="Times New Roman"/>
          <w:sz w:val="24"/>
          <w:szCs w:val="24"/>
        </w:rPr>
        <w:t>Michael D. Granston, Director of the DOJ Commercial Litigation Branch, Fraud Section, instructed Assistant U.S. Attorneys handling FCA cases to consider whether the government’s interests are served by seeking dismissal of FCA complaints based on the following factors:</w:t>
      </w:r>
    </w:p>
    <w:p w:rsidR="00BC279C" w:rsidRDefault="00BC279C" w:rsidP="00C41B43">
      <w:pPr>
        <w:spacing w:after="0" w:line="240" w:lineRule="auto"/>
        <w:rPr>
          <w:rFonts w:ascii="Times New Roman" w:hAnsi="Times New Roman" w:cs="Times New Roman"/>
          <w:sz w:val="24"/>
          <w:szCs w:val="24"/>
        </w:rPr>
      </w:pPr>
    </w:p>
    <w:p w:rsidR="00BC279C" w:rsidRDefault="00BC279C"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 xml:space="preserve">Curbing Meritless </w:t>
      </w:r>
      <w:r w:rsidRPr="00BC279C">
        <w:rPr>
          <w:rFonts w:ascii="Times New Roman" w:hAnsi="Times New Roman" w:cs="Times New Roman"/>
          <w:i/>
          <w:sz w:val="24"/>
          <w:szCs w:val="24"/>
        </w:rPr>
        <w:t>Qui Tams</w:t>
      </w:r>
      <w:r>
        <w:rPr>
          <w:rFonts w:ascii="Times New Roman" w:hAnsi="Times New Roman" w:cs="Times New Roman"/>
          <w:sz w:val="24"/>
          <w:szCs w:val="24"/>
        </w:rPr>
        <w:t>;</w:t>
      </w:r>
    </w:p>
    <w:p w:rsidR="00BC279C" w:rsidRDefault="00BC279C"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 xml:space="preserve">Preventing Parasitic or Opportunistic </w:t>
      </w:r>
      <w:r w:rsidRPr="00BC279C">
        <w:rPr>
          <w:rFonts w:ascii="Times New Roman" w:hAnsi="Times New Roman" w:cs="Times New Roman"/>
          <w:i/>
          <w:sz w:val="24"/>
          <w:szCs w:val="24"/>
        </w:rPr>
        <w:t>Qui Tam</w:t>
      </w:r>
      <w:r>
        <w:rPr>
          <w:rFonts w:ascii="Times New Roman" w:hAnsi="Times New Roman" w:cs="Times New Roman"/>
          <w:sz w:val="24"/>
          <w:szCs w:val="24"/>
        </w:rPr>
        <w:t xml:space="preserve"> Actions;</w:t>
      </w:r>
    </w:p>
    <w:p w:rsidR="00BC279C" w:rsidRDefault="00BC279C"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Preventing Interference with Agency Policies and Programs;</w:t>
      </w:r>
    </w:p>
    <w:p w:rsidR="00BC279C" w:rsidRDefault="00BC279C"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Controlling Litigation Brought on Behalf of the United States;</w:t>
      </w:r>
    </w:p>
    <w:p w:rsidR="00BC279C" w:rsidRDefault="00BC279C"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t>Safeguarding Classified Information and National Security Interests;</w:t>
      </w:r>
    </w:p>
    <w:p w:rsidR="00BC279C" w:rsidRDefault="00BC279C"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sz w:val="24"/>
          <w:szCs w:val="24"/>
        </w:rPr>
        <w:tab/>
        <w:t>Preserving Government Resources;</w:t>
      </w:r>
    </w:p>
    <w:p w:rsidR="00BC279C" w:rsidRDefault="00BC279C"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g.</w:t>
      </w:r>
      <w:r>
        <w:rPr>
          <w:rFonts w:ascii="Times New Roman" w:hAnsi="Times New Roman" w:cs="Times New Roman"/>
          <w:sz w:val="24"/>
          <w:szCs w:val="24"/>
        </w:rPr>
        <w:tab/>
        <w:t>Addressing Egregious Procedural Errors.</w:t>
      </w:r>
    </w:p>
    <w:p w:rsidR="00BC279C" w:rsidRDefault="00BC279C" w:rsidP="00C41B43">
      <w:pPr>
        <w:spacing w:after="0" w:line="240" w:lineRule="auto"/>
        <w:rPr>
          <w:rFonts w:ascii="Times New Roman" w:hAnsi="Times New Roman" w:cs="Times New Roman"/>
          <w:sz w:val="24"/>
          <w:szCs w:val="24"/>
        </w:rPr>
      </w:pPr>
    </w:p>
    <w:p w:rsidR="00BC279C" w:rsidRPr="00E953D1" w:rsidRDefault="006E43D6" w:rsidP="00C41B43">
      <w:pPr>
        <w:spacing w:after="0" w:line="240" w:lineRule="auto"/>
        <w:rPr>
          <w:rFonts w:ascii="Times New Roman" w:hAnsi="Times New Roman" w:cs="Times New Roman"/>
          <w:sz w:val="24"/>
          <w:szCs w:val="24"/>
        </w:rPr>
      </w:pPr>
      <w:hyperlink r:id="rId23" w:history="1">
        <w:r w:rsidR="00BC279C" w:rsidRPr="0045375F">
          <w:rPr>
            <w:rStyle w:val="Hyperlink"/>
            <w:rFonts w:ascii="Times New Roman" w:hAnsi="Times New Roman" w:cs="Times New Roman"/>
            <w:sz w:val="24"/>
            <w:szCs w:val="24"/>
          </w:rPr>
          <w:t>https://assets.documentcloud.org/documents/4358602/Memo-for-Evaluating-Dismissal-Pursuant-to-31-U-S.pdf</w:t>
        </w:r>
      </w:hyperlink>
      <w:r w:rsidR="00BC279C">
        <w:rPr>
          <w:rFonts w:ascii="Times New Roman" w:hAnsi="Times New Roman" w:cs="Times New Roman"/>
          <w:sz w:val="24"/>
          <w:szCs w:val="24"/>
        </w:rPr>
        <w:t xml:space="preserve"> (Jan. 10, 2018, last viewed Mar. 2, 2018).</w:t>
      </w:r>
      <w:r w:rsidR="00BC279C">
        <w:rPr>
          <w:rFonts w:ascii="Times New Roman" w:hAnsi="Times New Roman" w:cs="Times New Roman"/>
          <w:sz w:val="24"/>
          <w:szCs w:val="24"/>
        </w:rPr>
        <w:tab/>
      </w:r>
    </w:p>
    <w:p w:rsidR="008B3213" w:rsidRDefault="008B3213" w:rsidP="00C41B43">
      <w:pPr>
        <w:spacing w:after="0" w:line="240" w:lineRule="auto"/>
        <w:rPr>
          <w:rFonts w:ascii="Times New Roman" w:hAnsi="Times New Roman" w:cs="Times New Roman"/>
          <w:sz w:val="24"/>
          <w:szCs w:val="24"/>
        </w:rPr>
      </w:pPr>
    </w:p>
    <w:p w:rsidR="00BC279C" w:rsidRPr="00324101" w:rsidRDefault="00BC279C" w:rsidP="00BC279C">
      <w:pPr>
        <w:spacing w:after="0" w:line="24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b/>
          <w:sz w:val="24"/>
          <w:szCs w:val="24"/>
        </w:rPr>
        <w:t xml:space="preserve">Limiting Use of Agency Guidance Documents in Health Care Enforcement.   </w:t>
      </w:r>
      <w:r w:rsidRPr="008040F9">
        <w:rPr>
          <w:rFonts w:ascii="Times New Roman" w:hAnsi="Times New Roman" w:cs="Times New Roman"/>
          <w:sz w:val="24"/>
          <w:szCs w:val="24"/>
        </w:rPr>
        <w:t xml:space="preserve">Attorney General </w:t>
      </w:r>
      <w:r>
        <w:rPr>
          <w:rFonts w:ascii="Times New Roman" w:hAnsi="Times New Roman" w:cs="Times New Roman"/>
          <w:sz w:val="24"/>
          <w:szCs w:val="24"/>
        </w:rPr>
        <w:t xml:space="preserve">Jeff Sessions </w:t>
      </w:r>
      <w:r w:rsidRPr="008040F9">
        <w:rPr>
          <w:rFonts w:ascii="Times New Roman" w:hAnsi="Times New Roman" w:cs="Times New Roman"/>
          <w:sz w:val="24"/>
          <w:szCs w:val="24"/>
        </w:rPr>
        <w:t>issued a memorandum ("Guidance Policy") prohibiting Department components from issuing guidance documents that effectively bind the public without undergoing the notice-and-comment rulemaking process.</w:t>
      </w:r>
      <w:r>
        <w:rPr>
          <w:rFonts w:ascii="Times New Roman" w:hAnsi="Times New Roman" w:cs="Times New Roman"/>
          <w:sz w:val="24"/>
          <w:szCs w:val="24"/>
        </w:rPr>
        <w:t xml:space="preserve">  </w:t>
      </w:r>
      <w:r>
        <w:rPr>
          <w:rFonts w:ascii="Times New Roman" w:hAnsi="Times New Roman" w:cs="Times New Roman"/>
          <w:b/>
          <w:sz w:val="24"/>
          <w:szCs w:val="24"/>
        </w:rPr>
        <w:t xml:space="preserve"> </w:t>
      </w:r>
      <w:hyperlink r:id="rId24" w:history="1">
        <w:r w:rsidRPr="00D83206">
          <w:rPr>
            <w:rStyle w:val="Hyperlink"/>
            <w:rFonts w:ascii="Times New Roman" w:hAnsi="Times New Roman" w:cs="Times New Roman"/>
            <w:sz w:val="24"/>
            <w:szCs w:val="24"/>
          </w:rPr>
          <w:t>https://www.justice.gov/opa/press-release/file/1012271/download</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(Nov. 16, 2017, last viewed Feb. 13, 2018).  As a follow-up to the Guidance Policy, Associate Attorney General Rachel </w:t>
      </w:r>
      <w:r w:rsidRPr="008040F9">
        <w:rPr>
          <w:rFonts w:ascii="Times New Roman" w:hAnsi="Times New Roman" w:cs="Times New Roman"/>
          <w:sz w:val="24"/>
          <w:szCs w:val="24"/>
        </w:rPr>
        <w:t>Brand issued a new policy that prohibits the Department of Justice from using its civil enforcement authority to convert agency guidance documents into binding rules. Under the Department’s new policy, Department civil litigators are prohibited from using guidance documents—or noncompliance with guidance documents—to establish violations of law in affirmative civil enforcement actions.</w:t>
      </w:r>
      <w:r>
        <w:rPr>
          <w:rFonts w:ascii="Times New Roman" w:hAnsi="Times New Roman" w:cs="Times New Roman"/>
          <w:b/>
          <w:sz w:val="24"/>
          <w:szCs w:val="24"/>
        </w:rPr>
        <w:t xml:space="preserve"> </w:t>
      </w:r>
      <w:hyperlink r:id="rId25" w:history="1">
        <w:r w:rsidRPr="00D83206">
          <w:rPr>
            <w:rStyle w:val="Hyperlink"/>
            <w:rFonts w:ascii="Times New Roman" w:hAnsi="Times New Roman" w:cs="Times New Roman"/>
            <w:sz w:val="24"/>
            <w:szCs w:val="24"/>
          </w:rPr>
          <w:t>https://www.justice.gov/file/1028756/download</w:t>
        </w:r>
      </w:hyperlink>
      <w:r>
        <w:rPr>
          <w:rFonts w:ascii="Times New Roman" w:hAnsi="Times New Roman" w:cs="Times New Roman"/>
          <w:sz w:val="24"/>
          <w:szCs w:val="24"/>
        </w:rPr>
        <w:t xml:space="preserve"> (Jan. 25, 2018, last viewed Feb. 13, 2018).</w:t>
      </w:r>
    </w:p>
    <w:p w:rsidR="00BC279C" w:rsidRDefault="00BC279C" w:rsidP="00C41B43">
      <w:pPr>
        <w:spacing w:after="0" w:line="240" w:lineRule="auto"/>
        <w:rPr>
          <w:rFonts w:ascii="Times New Roman" w:hAnsi="Times New Roman" w:cs="Times New Roman"/>
          <w:sz w:val="24"/>
          <w:szCs w:val="24"/>
        </w:rPr>
      </w:pPr>
    </w:p>
    <w:p w:rsidR="008B3213" w:rsidRPr="009E02DD" w:rsidRDefault="008B3213" w:rsidP="00C41B4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C279C">
        <w:rPr>
          <w:rFonts w:ascii="Times New Roman" w:hAnsi="Times New Roman" w:cs="Times New Roman"/>
          <w:sz w:val="24"/>
          <w:szCs w:val="24"/>
        </w:rPr>
        <w:t>5</w:t>
      </w:r>
      <w:r>
        <w:rPr>
          <w:rFonts w:ascii="Times New Roman" w:hAnsi="Times New Roman" w:cs="Times New Roman"/>
          <w:sz w:val="24"/>
          <w:szCs w:val="24"/>
        </w:rPr>
        <w:t>.</w:t>
      </w:r>
      <w:r>
        <w:rPr>
          <w:rFonts w:ascii="Times New Roman" w:hAnsi="Times New Roman" w:cs="Times New Roman"/>
          <w:sz w:val="24"/>
          <w:szCs w:val="24"/>
        </w:rPr>
        <w:tab/>
      </w:r>
      <w:r w:rsidR="00E732D7" w:rsidRPr="00E732D7">
        <w:rPr>
          <w:rFonts w:ascii="Times New Roman" w:hAnsi="Times New Roman" w:cs="Times New Roman"/>
          <w:b/>
          <w:sz w:val="24"/>
          <w:szCs w:val="24"/>
        </w:rPr>
        <w:t>Reduce Health Care Regulations</w:t>
      </w:r>
      <w:r w:rsidR="00E732D7">
        <w:rPr>
          <w:rFonts w:ascii="Times New Roman" w:hAnsi="Times New Roman" w:cs="Times New Roman"/>
          <w:sz w:val="24"/>
          <w:szCs w:val="24"/>
        </w:rPr>
        <w:t xml:space="preserve">.  </w:t>
      </w:r>
      <w:r w:rsidRPr="00E732D7">
        <w:rPr>
          <w:rFonts w:ascii="Times New Roman" w:hAnsi="Times New Roman" w:cs="Times New Roman"/>
          <w:sz w:val="24"/>
          <w:szCs w:val="24"/>
        </w:rPr>
        <w:t>Trump</w:t>
      </w:r>
      <w:r>
        <w:rPr>
          <w:rFonts w:ascii="Times New Roman" w:hAnsi="Times New Roman" w:cs="Times New Roman"/>
          <w:sz w:val="24"/>
          <w:szCs w:val="24"/>
        </w:rPr>
        <w:t xml:space="preserve"> Administration has promised to reduce regulations on health care.  </w:t>
      </w:r>
      <w:r>
        <w:rPr>
          <w:rFonts w:ascii="Times New Roman" w:hAnsi="Times New Roman" w:cs="Times New Roman"/>
          <w:i/>
          <w:sz w:val="24"/>
          <w:szCs w:val="24"/>
        </w:rPr>
        <w:t xml:space="preserve">See </w:t>
      </w:r>
      <w:hyperlink r:id="rId26" w:history="1">
        <w:r w:rsidRPr="0017733F">
          <w:rPr>
            <w:rStyle w:val="Hyperlink"/>
            <w:rFonts w:ascii="Times New Roman" w:hAnsi="Times New Roman" w:cs="Times New Roman"/>
            <w:sz w:val="24"/>
            <w:szCs w:val="24"/>
          </w:rPr>
          <w:t>https://www.nytimes.com/2017/12/14/us/politics/trump-federal-regulations.html</w:t>
        </w:r>
      </w:hyperlink>
      <w:r>
        <w:rPr>
          <w:rFonts w:ascii="Times New Roman" w:hAnsi="Times New Roman" w:cs="Times New Roman"/>
          <w:i/>
          <w:sz w:val="24"/>
          <w:szCs w:val="24"/>
        </w:rPr>
        <w:t xml:space="preserve"> </w:t>
      </w:r>
      <w:r>
        <w:rPr>
          <w:rFonts w:ascii="Times New Roman" w:hAnsi="Times New Roman" w:cs="Times New Roman"/>
          <w:sz w:val="24"/>
          <w:szCs w:val="24"/>
        </w:rPr>
        <w:t>(last viewed Jan. 24, 2018).</w:t>
      </w:r>
      <w:r w:rsidR="00722687">
        <w:rPr>
          <w:rFonts w:ascii="Times New Roman" w:hAnsi="Times New Roman" w:cs="Times New Roman"/>
          <w:sz w:val="24"/>
          <w:szCs w:val="24"/>
        </w:rPr>
        <w:t xml:space="preserve">  </w:t>
      </w:r>
      <w:r w:rsidR="009E02DD">
        <w:rPr>
          <w:rFonts w:ascii="Times New Roman" w:hAnsi="Times New Roman" w:cs="Times New Roman"/>
          <w:i/>
          <w:sz w:val="24"/>
          <w:szCs w:val="24"/>
        </w:rPr>
        <w:t xml:space="preserve">See also </w:t>
      </w:r>
      <w:r w:rsidR="009E02DD">
        <w:rPr>
          <w:rFonts w:ascii="Times New Roman" w:hAnsi="Times New Roman" w:cs="Times New Roman"/>
          <w:sz w:val="24"/>
          <w:szCs w:val="24"/>
        </w:rPr>
        <w:t xml:space="preserve">Executive Order 13771, accessible at </w:t>
      </w:r>
      <w:hyperlink r:id="rId27" w:history="1">
        <w:r w:rsidR="009E02DD" w:rsidRPr="009D68AB">
          <w:rPr>
            <w:rStyle w:val="Hyperlink"/>
            <w:rFonts w:ascii="Times New Roman" w:hAnsi="Times New Roman" w:cs="Times New Roman"/>
            <w:sz w:val="24"/>
            <w:szCs w:val="24"/>
          </w:rPr>
          <w:t>https://www.whitehouse.gov/presidential-actions/presidential-executive-order-reducing-regulation-controlling-regulatory-costs/</w:t>
        </w:r>
      </w:hyperlink>
      <w:r w:rsidR="009E02DD">
        <w:rPr>
          <w:rFonts w:ascii="Times New Roman" w:hAnsi="Times New Roman" w:cs="Times New Roman"/>
          <w:sz w:val="24"/>
          <w:szCs w:val="24"/>
        </w:rPr>
        <w:t xml:space="preserve"> (Jan. 30, 2017, last viewed Mar. 5, 2018); Executive Order 13777, accessible at</w:t>
      </w:r>
      <w:r w:rsidR="009E02DD" w:rsidRPr="009E02DD">
        <w:rPr>
          <w:rFonts w:ascii="Times New Roman" w:hAnsi="Times New Roman" w:cs="Times New Roman"/>
          <w:sz w:val="24"/>
          <w:szCs w:val="24"/>
        </w:rPr>
        <w:t>https://www.federalregister.gov/documents/2017/03/01/2017-04107/enforcing-the-regulatory-reform-agenda</w:t>
      </w:r>
      <w:r w:rsidR="009E02DD">
        <w:rPr>
          <w:rFonts w:ascii="Times New Roman" w:hAnsi="Times New Roman" w:cs="Times New Roman"/>
          <w:sz w:val="24"/>
          <w:szCs w:val="24"/>
        </w:rPr>
        <w:t xml:space="preserve"> (Feb. 24, 2017, last viewed Mar. 5, 2018. </w:t>
      </w:r>
    </w:p>
    <w:p w:rsidR="008B3213" w:rsidRDefault="008B3213" w:rsidP="00C41B43">
      <w:pPr>
        <w:spacing w:after="0" w:line="240" w:lineRule="auto"/>
        <w:rPr>
          <w:rFonts w:ascii="Times New Roman" w:hAnsi="Times New Roman" w:cs="Times New Roman"/>
          <w:sz w:val="24"/>
          <w:szCs w:val="24"/>
        </w:rPr>
      </w:pPr>
    </w:p>
    <w:p w:rsidR="0086312F" w:rsidRPr="0086312F" w:rsidRDefault="008B3213" w:rsidP="0086312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C279C">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sz w:val="24"/>
          <w:szCs w:val="24"/>
        </w:rPr>
        <w:tab/>
      </w:r>
      <w:r w:rsidR="00E732D7" w:rsidRPr="00E732D7">
        <w:rPr>
          <w:rFonts w:ascii="Times New Roman" w:hAnsi="Times New Roman" w:cs="Times New Roman"/>
          <w:b/>
          <w:sz w:val="24"/>
          <w:szCs w:val="24"/>
        </w:rPr>
        <w:t xml:space="preserve">Regulations Lacking </w:t>
      </w:r>
      <w:r w:rsidR="00E732D7" w:rsidRPr="00E732D7">
        <w:rPr>
          <w:rFonts w:ascii="Times New Roman" w:hAnsi="Times New Roman" w:cs="Times New Roman"/>
          <w:b/>
          <w:i/>
          <w:sz w:val="24"/>
          <w:szCs w:val="24"/>
        </w:rPr>
        <w:t xml:space="preserve">Escobar </w:t>
      </w:r>
      <w:r w:rsidR="00E732D7" w:rsidRPr="00E732D7">
        <w:rPr>
          <w:rFonts w:ascii="Times New Roman" w:hAnsi="Times New Roman" w:cs="Times New Roman"/>
          <w:b/>
          <w:sz w:val="24"/>
          <w:szCs w:val="24"/>
        </w:rPr>
        <w:t>Materiality Might Be Repealed</w:t>
      </w:r>
      <w:r w:rsidR="00E732D7">
        <w:rPr>
          <w:rFonts w:ascii="Times New Roman" w:hAnsi="Times New Roman" w:cs="Times New Roman"/>
          <w:b/>
          <w:sz w:val="24"/>
          <w:szCs w:val="24"/>
        </w:rPr>
        <w:t>.</w:t>
      </w:r>
      <w:r w:rsidR="00E732D7">
        <w:rPr>
          <w:rFonts w:ascii="Times New Roman" w:hAnsi="Times New Roman" w:cs="Times New Roman"/>
          <w:sz w:val="24"/>
          <w:szCs w:val="24"/>
        </w:rPr>
        <w:t xml:space="preserve">  </w:t>
      </w:r>
      <w:r w:rsidR="007C1941">
        <w:rPr>
          <w:rFonts w:ascii="Times New Roman" w:hAnsi="Times New Roman" w:cs="Times New Roman"/>
          <w:sz w:val="24"/>
          <w:szCs w:val="24"/>
        </w:rPr>
        <w:t xml:space="preserve">In particular, </w:t>
      </w:r>
      <w:r w:rsidR="002B711E">
        <w:rPr>
          <w:rFonts w:ascii="Times New Roman" w:hAnsi="Times New Roman" w:cs="Times New Roman"/>
          <w:sz w:val="24"/>
          <w:szCs w:val="24"/>
        </w:rPr>
        <w:t>h</w:t>
      </w:r>
      <w:r>
        <w:rPr>
          <w:rFonts w:ascii="Times New Roman" w:hAnsi="Times New Roman" w:cs="Times New Roman"/>
          <w:sz w:val="24"/>
          <w:szCs w:val="24"/>
        </w:rPr>
        <w:t xml:space="preserve">ealth care regulations that flunk </w:t>
      </w:r>
      <w:r>
        <w:rPr>
          <w:rFonts w:ascii="Times New Roman" w:hAnsi="Times New Roman" w:cs="Times New Roman"/>
          <w:i/>
          <w:sz w:val="24"/>
          <w:szCs w:val="24"/>
        </w:rPr>
        <w:t>Escobar</w:t>
      </w:r>
      <w:r>
        <w:rPr>
          <w:rFonts w:ascii="Times New Roman" w:hAnsi="Times New Roman" w:cs="Times New Roman"/>
          <w:sz w:val="24"/>
          <w:szCs w:val="24"/>
        </w:rPr>
        <w:t xml:space="preserve"> materiality might be repealed.  </w:t>
      </w:r>
      <w:r w:rsidR="0086312F">
        <w:rPr>
          <w:rFonts w:ascii="Times New Roman" w:hAnsi="Times New Roman" w:cs="Times New Roman"/>
          <w:sz w:val="24"/>
          <w:szCs w:val="24"/>
        </w:rPr>
        <w:t xml:space="preserve">For example, Medicaid regulation requiring “comprehensive care plan” in specialized nursing facilities lacked </w:t>
      </w:r>
      <w:r w:rsidR="0086312F">
        <w:rPr>
          <w:rFonts w:ascii="Times New Roman" w:hAnsi="Times New Roman" w:cs="Times New Roman"/>
          <w:i/>
          <w:sz w:val="24"/>
          <w:szCs w:val="24"/>
        </w:rPr>
        <w:t>Escobar</w:t>
      </w:r>
      <w:r w:rsidR="0086312F">
        <w:rPr>
          <w:rFonts w:ascii="Times New Roman" w:hAnsi="Times New Roman" w:cs="Times New Roman"/>
          <w:sz w:val="24"/>
          <w:szCs w:val="24"/>
        </w:rPr>
        <w:t xml:space="preserve"> materiality, causing District Judge Steven Merryday in the Middle District of Florida to grant the defendant judgment as a matter of law despite a plaintiffs’ jury award of $348 million.  </w:t>
      </w:r>
      <w:r w:rsidR="0086312F">
        <w:rPr>
          <w:rFonts w:ascii="Times New Roman" w:hAnsi="Times New Roman" w:cs="Times New Roman"/>
          <w:i/>
          <w:sz w:val="24"/>
          <w:szCs w:val="24"/>
        </w:rPr>
        <w:t>U.S. and State of Florida ex rel. Ruckh v</w:t>
      </w:r>
      <w:r w:rsidR="00BF7A78">
        <w:rPr>
          <w:rFonts w:ascii="Times New Roman" w:hAnsi="Times New Roman" w:cs="Times New Roman"/>
          <w:i/>
          <w:sz w:val="24"/>
          <w:szCs w:val="24"/>
        </w:rPr>
        <w:t>.</w:t>
      </w:r>
      <w:r w:rsidR="0086312F">
        <w:rPr>
          <w:rFonts w:ascii="Times New Roman" w:hAnsi="Times New Roman" w:cs="Times New Roman"/>
          <w:i/>
          <w:sz w:val="24"/>
          <w:szCs w:val="24"/>
        </w:rPr>
        <w:t xml:space="preserve"> Salus Rehabilitation, LLC</w:t>
      </w:r>
      <w:r w:rsidR="0086312F">
        <w:rPr>
          <w:rFonts w:ascii="Times New Roman" w:hAnsi="Times New Roman" w:cs="Times New Roman"/>
          <w:sz w:val="24"/>
          <w:szCs w:val="24"/>
        </w:rPr>
        <w:t xml:space="preserve">, </w:t>
      </w:r>
    </w:p>
    <w:p w:rsidR="008B3213" w:rsidRDefault="001B7005" w:rsidP="0086312F">
      <w:pPr>
        <w:spacing w:after="0" w:line="240" w:lineRule="auto"/>
        <w:rPr>
          <w:rFonts w:ascii="Times New Roman" w:hAnsi="Times New Roman" w:cs="Times New Roman"/>
          <w:sz w:val="24"/>
          <w:szCs w:val="24"/>
        </w:rPr>
      </w:pPr>
      <w:r w:rsidRPr="001B7005">
        <w:rPr>
          <w:rFonts w:ascii="Times New Roman" w:hAnsi="Times New Roman" w:cs="Times New Roman"/>
          <w:sz w:val="24"/>
          <w:szCs w:val="24"/>
        </w:rPr>
        <w:t>2018 WL 375720</w:t>
      </w:r>
      <w:r>
        <w:rPr>
          <w:rFonts w:ascii="Times New Roman" w:hAnsi="Times New Roman" w:cs="Times New Roman"/>
          <w:sz w:val="24"/>
          <w:szCs w:val="24"/>
        </w:rPr>
        <w:t xml:space="preserve"> (M.D. Fla., Jan. 11, 2018).</w:t>
      </w:r>
      <w:r w:rsidR="00A74E2C">
        <w:rPr>
          <w:rFonts w:ascii="Times New Roman" w:hAnsi="Times New Roman" w:cs="Times New Roman"/>
          <w:sz w:val="24"/>
          <w:szCs w:val="24"/>
        </w:rPr>
        <w:t xml:space="preserve">  Available at </w:t>
      </w:r>
      <w:hyperlink r:id="rId28" w:history="1">
        <w:r w:rsidR="00A74E2C" w:rsidRPr="0017733F">
          <w:rPr>
            <w:rStyle w:val="Hyperlink"/>
            <w:rFonts w:ascii="Times New Roman" w:hAnsi="Times New Roman" w:cs="Times New Roman"/>
            <w:sz w:val="24"/>
            <w:szCs w:val="24"/>
          </w:rPr>
          <w:t>http://www.fdalawblog.net/wp-content/uploads/2018/01/Ruckh-opinion-re-Escobar-280040198229.pdf</w:t>
        </w:r>
      </w:hyperlink>
      <w:r w:rsidR="00A74E2C">
        <w:rPr>
          <w:rFonts w:ascii="Times New Roman" w:hAnsi="Times New Roman" w:cs="Times New Roman"/>
          <w:sz w:val="24"/>
          <w:szCs w:val="24"/>
        </w:rPr>
        <w:t xml:space="preserve"> (last viewed Jan. 24, 2018).</w:t>
      </w:r>
    </w:p>
    <w:p w:rsidR="00FE7CF6" w:rsidRDefault="00FE7CF6" w:rsidP="0086312F">
      <w:pPr>
        <w:spacing w:after="0" w:line="240" w:lineRule="auto"/>
        <w:rPr>
          <w:rFonts w:ascii="Times New Roman" w:hAnsi="Times New Roman" w:cs="Times New Roman"/>
          <w:sz w:val="24"/>
          <w:szCs w:val="24"/>
        </w:rPr>
      </w:pPr>
    </w:p>
    <w:p w:rsidR="00FE7CF6" w:rsidRDefault="00FE7CF6" w:rsidP="0086312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C279C">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E732D7" w:rsidRPr="00E732D7">
        <w:rPr>
          <w:rFonts w:ascii="Times New Roman" w:hAnsi="Times New Roman" w:cs="Times New Roman"/>
          <w:b/>
          <w:sz w:val="24"/>
          <w:szCs w:val="24"/>
        </w:rPr>
        <w:t>Lower Drug Prices</w:t>
      </w:r>
      <w:r w:rsidR="00E732D7">
        <w:rPr>
          <w:rFonts w:ascii="Times New Roman" w:hAnsi="Times New Roman" w:cs="Times New Roman"/>
          <w:sz w:val="24"/>
          <w:szCs w:val="24"/>
        </w:rPr>
        <w:t xml:space="preserve">.  </w:t>
      </w:r>
      <w:r>
        <w:rPr>
          <w:rFonts w:ascii="Times New Roman" w:hAnsi="Times New Roman" w:cs="Times New Roman"/>
          <w:sz w:val="24"/>
          <w:szCs w:val="24"/>
        </w:rPr>
        <w:t xml:space="preserve">President Trump and new HHS Secretary Azar have promised to get </w:t>
      </w:r>
      <w:r w:rsidRPr="00FE7CF6">
        <w:rPr>
          <w:rFonts w:ascii="Times New Roman" w:hAnsi="Times New Roman" w:cs="Times New Roman"/>
          <w:sz w:val="24"/>
          <w:szCs w:val="24"/>
        </w:rPr>
        <w:t xml:space="preserve">prescription drug prices </w:t>
      </w:r>
      <w:r>
        <w:rPr>
          <w:rFonts w:ascii="Times New Roman" w:hAnsi="Times New Roman" w:cs="Times New Roman"/>
          <w:sz w:val="24"/>
          <w:szCs w:val="24"/>
        </w:rPr>
        <w:t>“</w:t>
      </w:r>
      <w:r w:rsidRPr="00FE7CF6">
        <w:rPr>
          <w:rFonts w:ascii="Times New Roman" w:hAnsi="Times New Roman" w:cs="Times New Roman"/>
          <w:sz w:val="24"/>
          <w:szCs w:val="24"/>
        </w:rPr>
        <w:t>way down</w:t>
      </w:r>
      <w:r>
        <w:rPr>
          <w:rFonts w:ascii="Times New Roman" w:hAnsi="Times New Roman" w:cs="Times New Roman"/>
          <w:sz w:val="24"/>
          <w:szCs w:val="24"/>
        </w:rPr>
        <w:t xml:space="preserve">.”  </w:t>
      </w:r>
      <w:hyperlink r:id="rId29" w:history="1">
        <w:r w:rsidR="00E732D7" w:rsidRPr="00D83206">
          <w:rPr>
            <w:rStyle w:val="Hyperlink"/>
            <w:rFonts w:ascii="Times New Roman" w:hAnsi="Times New Roman" w:cs="Times New Roman"/>
            <w:sz w:val="24"/>
            <w:szCs w:val="24"/>
          </w:rPr>
          <w:t>https://www.whitehouse.gov/briefings-statements/remarks-president-trump-swearing-ceremony-alex-azar-secretary-department-health-human-services</w:t>
        </w:r>
      </w:hyperlink>
      <w:r w:rsidR="00E732D7">
        <w:rPr>
          <w:rFonts w:ascii="Times New Roman" w:hAnsi="Times New Roman" w:cs="Times New Roman"/>
          <w:sz w:val="24"/>
          <w:szCs w:val="24"/>
        </w:rPr>
        <w:t xml:space="preserve"> (Jan. 29, 2018, last viewed Feb. 13, 2018).  Value based pricing (VBP) arrangements may become more common for pharmaceuticals.  </w:t>
      </w:r>
      <w:r w:rsidR="00E732D7">
        <w:rPr>
          <w:rFonts w:ascii="Times New Roman" w:hAnsi="Times New Roman" w:cs="Times New Roman"/>
          <w:i/>
          <w:sz w:val="24"/>
          <w:szCs w:val="24"/>
        </w:rPr>
        <w:t xml:space="preserve">See </w:t>
      </w:r>
      <w:hyperlink r:id="rId30" w:history="1">
        <w:r w:rsidR="00324101" w:rsidRPr="00D83206">
          <w:rPr>
            <w:rStyle w:val="Hyperlink"/>
            <w:rFonts w:ascii="Times New Roman" w:hAnsi="Times New Roman" w:cs="Times New Roman"/>
            <w:sz w:val="24"/>
            <w:szCs w:val="24"/>
          </w:rPr>
          <w:t>https://www.citizen.org/sites/default/files/trump-pharma-outcomes-based-arrangements-proposal.pdf</w:t>
        </w:r>
      </w:hyperlink>
      <w:r w:rsidR="00324101">
        <w:rPr>
          <w:rFonts w:ascii="Times New Roman" w:hAnsi="Times New Roman" w:cs="Times New Roman"/>
          <w:sz w:val="24"/>
          <w:szCs w:val="24"/>
        </w:rPr>
        <w:t xml:space="preserve"> (last viewed Feb. 13, 2018).  VBP</w:t>
      </w:r>
      <w:r w:rsidR="00E732D7">
        <w:rPr>
          <w:rFonts w:ascii="Times New Roman" w:hAnsi="Times New Roman" w:cs="Times New Roman"/>
          <w:sz w:val="24"/>
          <w:szCs w:val="24"/>
        </w:rPr>
        <w:t xml:space="preserve"> may require new kickback safe harbors and Stark exceptions</w:t>
      </w:r>
      <w:r w:rsidR="00324101">
        <w:rPr>
          <w:rFonts w:ascii="Times New Roman" w:hAnsi="Times New Roman" w:cs="Times New Roman"/>
          <w:sz w:val="24"/>
          <w:szCs w:val="24"/>
        </w:rPr>
        <w:t xml:space="preserve">.  </w:t>
      </w:r>
      <w:r w:rsidR="00324101">
        <w:rPr>
          <w:rFonts w:ascii="Times New Roman" w:hAnsi="Times New Roman" w:cs="Times New Roman"/>
          <w:i/>
          <w:sz w:val="24"/>
          <w:szCs w:val="24"/>
        </w:rPr>
        <w:t xml:space="preserve">See </w:t>
      </w:r>
      <w:hyperlink r:id="rId31" w:history="1">
        <w:r w:rsidR="00324101" w:rsidRPr="00D83206">
          <w:rPr>
            <w:rStyle w:val="Hyperlink"/>
            <w:rFonts w:ascii="Times New Roman" w:hAnsi="Times New Roman" w:cs="Times New Roman"/>
            <w:sz w:val="24"/>
            <w:szCs w:val="24"/>
          </w:rPr>
          <w:t>https://www.bna.com/drug-device-companies-n57982085546</w:t>
        </w:r>
      </w:hyperlink>
      <w:r w:rsidR="00324101">
        <w:rPr>
          <w:rFonts w:ascii="Times New Roman" w:hAnsi="Times New Roman" w:cs="Times New Roman"/>
          <w:sz w:val="24"/>
          <w:szCs w:val="24"/>
        </w:rPr>
        <w:t xml:space="preserve"> (March 22, 2017, last viewed Feb. 13, 2018).</w:t>
      </w:r>
    </w:p>
    <w:p w:rsidR="00166E65" w:rsidRDefault="00166E65" w:rsidP="0086312F">
      <w:pPr>
        <w:spacing w:after="0" w:line="240" w:lineRule="auto"/>
        <w:rPr>
          <w:rFonts w:ascii="Times New Roman" w:hAnsi="Times New Roman" w:cs="Times New Roman"/>
          <w:sz w:val="24"/>
          <w:szCs w:val="24"/>
        </w:rPr>
      </w:pPr>
    </w:p>
    <w:p w:rsidR="00166E65" w:rsidRPr="00166E65" w:rsidRDefault="00166E65" w:rsidP="00166E6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8.</w:t>
      </w:r>
      <w:r>
        <w:rPr>
          <w:rFonts w:ascii="Times New Roman" w:hAnsi="Times New Roman" w:cs="Times New Roman"/>
          <w:sz w:val="24"/>
          <w:szCs w:val="24"/>
        </w:rPr>
        <w:tab/>
      </w:r>
      <w:r>
        <w:rPr>
          <w:rFonts w:ascii="Times New Roman" w:hAnsi="Times New Roman" w:cs="Times New Roman"/>
          <w:b/>
          <w:sz w:val="24"/>
          <w:szCs w:val="24"/>
        </w:rPr>
        <w:t xml:space="preserve">Emphasis on Innovation.  </w:t>
      </w:r>
      <w:r w:rsidRPr="00166E65">
        <w:rPr>
          <w:rFonts w:ascii="Times New Roman" w:hAnsi="Times New Roman" w:cs="Times New Roman"/>
          <w:sz w:val="24"/>
          <w:szCs w:val="24"/>
        </w:rPr>
        <w:t xml:space="preserve">The </w:t>
      </w:r>
      <w:r>
        <w:rPr>
          <w:rFonts w:ascii="Times New Roman" w:hAnsi="Times New Roman" w:cs="Times New Roman"/>
          <w:sz w:val="24"/>
          <w:szCs w:val="24"/>
        </w:rPr>
        <w:t>Cente</w:t>
      </w:r>
      <w:r w:rsidR="006D093F">
        <w:rPr>
          <w:rFonts w:ascii="Times New Roman" w:hAnsi="Times New Roman" w:cs="Times New Roman"/>
          <w:sz w:val="24"/>
          <w:szCs w:val="24"/>
        </w:rPr>
        <w:t>r</w:t>
      </w:r>
      <w:r>
        <w:rPr>
          <w:rFonts w:ascii="Times New Roman" w:hAnsi="Times New Roman" w:cs="Times New Roman"/>
          <w:sz w:val="24"/>
          <w:szCs w:val="24"/>
        </w:rPr>
        <w:t xml:space="preserve"> for Medicare and Medicaid </w:t>
      </w:r>
      <w:r w:rsidRPr="00166E65">
        <w:rPr>
          <w:rFonts w:ascii="Times New Roman" w:hAnsi="Times New Roman" w:cs="Times New Roman"/>
          <w:sz w:val="24"/>
          <w:szCs w:val="24"/>
        </w:rPr>
        <w:t xml:space="preserve">Innovation develops new payment and service delivery models in accordance with the requirements of section 1115A of the Social Security Act. </w:t>
      </w:r>
      <w:hyperlink r:id="rId32" w:anchor="views=models" w:history="1">
        <w:r w:rsidRPr="009D68AB">
          <w:rPr>
            <w:rStyle w:val="Hyperlink"/>
            <w:rFonts w:ascii="Times New Roman" w:hAnsi="Times New Roman" w:cs="Times New Roman"/>
            <w:sz w:val="24"/>
            <w:szCs w:val="24"/>
          </w:rPr>
          <w:t>https://innovation.cms.gov/initiatives/index.html#views=models</w:t>
        </w:r>
      </w:hyperlink>
      <w:r>
        <w:rPr>
          <w:rFonts w:ascii="Times New Roman" w:hAnsi="Times New Roman" w:cs="Times New Roman"/>
          <w:sz w:val="24"/>
          <w:szCs w:val="24"/>
        </w:rPr>
        <w:t xml:space="preserve"> (last viewed March 5, 2018).  </w:t>
      </w:r>
      <w:r w:rsidRPr="00166E65">
        <w:rPr>
          <w:rFonts w:ascii="Times New Roman" w:hAnsi="Times New Roman" w:cs="Times New Roman"/>
          <w:sz w:val="24"/>
          <w:szCs w:val="24"/>
        </w:rPr>
        <w:t>Additionally, Congress has defined – both through the Affordable Care Act and previous legislation – a number of specific demonstrations to be conducted by CMS.</w:t>
      </w:r>
    </w:p>
    <w:p w:rsidR="00166E65" w:rsidRPr="00166E65" w:rsidRDefault="00166E65" w:rsidP="00166E65">
      <w:pPr>
        <w:spacing w:after="0" w:line="240" w:lineRule="auto"/>
        <w:rPr>
          <w:rFonts w:ascii="Times New Roman" w:hAnsi="Times New Roman" w:cs="Times New Roman"/>
          <w:sz w:val="24"/>
          <w:szCs w:val="24"/>
        </w:rPr>
      </w:pPr>
    </w:p>
    <w:p w:rsidR="00166E65" w:rsidRPr="00166E65" w:rsidRDefault="00166E65" w:rsidP="00166E65">
      <w:pPr>
        <w:spacing w:after="0" w:line="240" w:lineRule="auto"/>
        <w:rPr>
          <w:rFonts w:ascii="Times New Roman" w:hAnsi="Times New Roman" w:cs="Times New Roman"/>
          <w:sz w:val="24"/>
          <w:szCs w:val="24"/>
        </w:rPr>
      </w:pPr>
      <w:r w:rsidRPr="00166E65">
        <w:rPr>
          <w:rFonts w:ascii="Times New Roman" w:hAnsi="Times New Roman" w:cs="Times New Roman"/>
          <w:sz w:val="24"/>
          <w:szCs w:val="24"/>
        </w:rPr>
        <w:t>The Innovation Center also plays a critical role in implementing the Quality Payment Program, which Congress created as part of the Medicare Access and CHIP Reauthorization Act of 2015 (MACRA) to replace Medicare’s Sustainable Growth Rate formula to pay for physicians’ and other providers’ services. In this new program, clinicians may earn incentive payments by participating to a sufficient extent in Advanced Alternative Payment Models (APMs). In Advanced APMs clinicians accept some risk for their patients’ quality and cost outcomes and meet other specified criteria.</w:t>
      </w:r>
    </w:p>
    <w:p w:rsidR="00166E65" w:rsidRPr="00166E65" w:rsidRDefault="00166E65" w:rsidP="00166E65">
      <w:pPr>
        <w:spacing w:after="0" w:line="240" w:lineRule="auto"/>
        <w:rPr>
          <w:rFonts w:ascii="Times New Roman" w:hAnsi="Times New Roman" w:cs="Times New Roman"/>
          <w:sz w:val="24"/>
          <w:szCs w:val="24"/>
        </w:rPr>
      </w:pPr>
    </w:p>
    <w:p w:rsidR="00166E65" w:rsidRPr="00166E65" w:rsidRDefault="00166E65" w:rsidP="00166E65">
      <w:pPr>
        <w:spacing w:after="0" w:line="240" w:lineRule="auto"/>
        <w:rPr>
          <w:rFonts w:ascii="Times New Roman" w:hAnsi="Times New Roman" w:cs="Times New Roman"/>
          <w:sz w:val="24"/>
          <w:szCs w:val="24"/>
        </w:rPr>
      </w:pPr>
      <w:r w:rsidRPr="00166E65">
        <w:rPr>
          <w:rFonts w:ascii="Times New Roman" w:hAnsi="Times New Roman" w:cs="Times New Roman"/>
          <w:sz w:val="24"/>
          <w:szCs w:val="24"/>
        </w:rPr>
        <w:t>The Innovation Center is working in consultation with clinicians to increase the number and variety of models (PDF) available to ensure that a wide range of clinicians, including those in small practices and rural areas, have the option to participate.</w:t>
      </w:r>
    </w:p>
    <w:p w:rsidR="00166E65" w:rsidRPr="00166E65" w:rsidRDefault="00166E65" w:rsidP="00166E65">
      <w:pPr>
        <w:spacing w:after="0" w:line="240" w:lineRule="auto"/>
        <w:rPr>
          <w:rFonts w:ascii="Times New Roman" w:hAnsi="Times New Roman" w:cs="Times New Roman"/>
          <w:sz w:val="24"/>
          <w:szCs w:val="24"/>
        </w:rPr>
      </w:pPr>
    </w:p>
    <w:p w:rsidR="00166E65" w:rsidRDefault="006502E2" w:rsidP="00166E65">
      <w:p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166E65" w:rsidRPr="00166E65">
        <w:rPr>
          <w:rFonts w:ascii="Times New Roman" w:hAnsi="Times New Roman" w:cs="Times New Roman"/>
          <w:sz w:val="24"/>
          <w:szCs w:val="24"/>
        </w:rPr>
        <w:t xml:space="preserve"> Innovation Models are organized into seven categories.</w:t>
      </w:r>
    </w:p>
    <w:p w:rsidR="006502E2" w:rsidRDefault="006502E2" w:rsidP="00166E65">
      <w:pPr>
        <w:spacing w:after="0" w:line="240" w:lineRule="auto"/>
        <w:rPr>
          <w:rFonts w:ascii="Times New Roman" w:hAnsi="Times New Roman" w:cs="Times New Roman"/>
          <w:sz w:val="24"/>
          <w:szCs w:val="24"/>
        </w:rPr>
      </w:pPr>
    </w:p>
    <w:p w:rsidR="006502E2" w:rsidRDefault="006502E2" w:rsidP="00F06BD1">
      <w:pPr>
        <w:numPr>
          <w:ilvl w:val="0"/>
          <w:numId w:val="2"/>
        </w:numPr>
        <w:spacing w:after="0" w:line="240" w:lineRule="auto"/>
        <w:rPr>
          <w:rFonts w:ascii="Times New Roman" w:hAnsi="Times New Roman" w:cs="Times New Roman"/>
          <w:sz w:val="24"/>
          <w:szCs w:val="24"/>
        </w:rPr>
      </w:pPr>
      <w:r w:rsidRPr="006502E2">
        <w:rPr>
          <w:rFonts w:ascii="Times New Roman" w:hAnsi="Times New Roman" w:cs="Times New Roman"/>
          <w:b/>
          <w:bCs/>
          <w:sz w:val="24"/>
          <w:szCs w:val="24"/>
        </w:rPr>
        <w:t xml:space="preserve">Accountable Care - </w:t>
      </w:r>
      <w:r w:rsidRPr="006502E2">
        <w:rPr>
          <w:rFonts w:ascii="Times New Roman" w:hAnsi="Times New Roman" w:cs="Times New Roman"/>
          <w:sz w:val="24"/>
          <w:szCs w:val="24"/>
        </w:rPr>
        <w:t>Accountable Care Organizations and similar care models are designed to incentivize health care providers to become accountable for a patient population and to invest in infrastructure and redesigned care processes that provide for coordinated care, high quality and efficient service delivery.</w:t>
      </w:r>
    </w:p>
    <w:p w:rsidR="006502E2" w:rsidRPr="006502E2" w:rsidRDefault="006502E2" w:rsidP="006502E2">
      <w:pPr>
        <w:spacing w:after="0" w:line="240" w:lineRule="auto"/>
        <w:ind w:left="720"/>
        <w:rPr>
          <w:rFonts w:ascii="Times New Roman" w:hAnsi="Times New Roman" w:cs="Times New Roman"/>
          <w:sz w:val="24"/>
          <w:szCs w:val="24"/>
        </w:rPr>
      </w:pPr>
    </w:p>
    <w:p w:rsidR="006502E2" w:rsidRDefault="006502E2" w:rsidP="00C85B48">
      <w:pPr>
        <w:numPr>
          <w:ilvl w:val="0"/>
          <w:numId w:val="2"/>
        </w:numPr>
        <w:spacing w:after="0" w:line="240" w:lineRule="auto"/>
        <w:rPr>
          <w:rFonts w:ascii="Times New Roman" w:hAnsi="Times New Roman" w:cs="Times New Roman"/>
          <w:sz w:val="24"/>
          <w:szCs w:val="24"/>
        </w:rPr>
      </w:pPr>
      <w:r w:rsidRPr="006502E2">
        <w:rPr>
          <w:rFonts w:ascii="Times New Roman" w:hAnsi="Times New Roman" w:cs="Times New Roman"/>
          <w:b/>
          <w:bCs/>
          <w:sz w:val="24"/>
          <w:szCs w:val="24"/>
        </w:rPr>
        <w:t xml:space="preserve">Episode-based Payment Initiatives - </w:t>
      </w:r>
      <w:r w:rsidRPr="006502E2">
        <w:rPr>
          <w:rFonts w:ascii="Times New Roman" w:hAnsi="Times New Roman" w:cs="Times New Roman"/>
          <w:sz w:val="24"/>
          <w:szCs w:val="24"/>
        </w:rPr>
        <w:t>Under these models, health care providers are held accountable for the cost and quality of care beneficiaries receive during an episode of care, which usually begins with a triggering health care event (such as a hospitalization or chemotherapy administration) and extends for a limited period of time thereafter.</w:t>
      </w:r>
    </w:p>
    <w:p w:rsidR="006502E2" w:rsidRPr="006502E2" w:rsidRDefault="006502E2" w:rsidP="006502E2">
      <w:pPr>
        <w:spacing w:after="0" w:line="240" w:lineRule="auto"/>
        <w:ind w:left="720"/>
        <w:rPr>
          <w:rFonts w:ascii="Times New Roman" w:hAnsi="Times New Roman" w:cs="Times New Roman"/>
          <w:sz w:val="24"/>
          <w:szCs w:val="24"/>
        </w:rPr>
      </w:pPr>
    </w:p>
    <w:p w:rsidR="006502E2" w:rsidRDefault="006502E2" w:rsidP="004725AC">
      <w:pPr>
        <w:numPr>
          <w:ilvl w:val="0"/>
          <w:numId w:val="2"/>
        </w:numPr>
        <w:spacing w:after="0" w:line="240" w:lineRule="auto"/>
        <w:rPr>
          <w:rFonts w:ascii="Times New Roman" w:hAnsi="Times New Roman" w:cs="Times New Roman"/>
          <w:sz w:val="24"/>
          <w:szCs w:val="24"/>
        </w:rPr>
      </w:pPr>
      <w:r w:rsidRPr="006502E2">
        <w:rPr>
          <w:rFonts w:ascii="Times New Roman" w:hAnsi="Times New Roman" w:cs="Times New Roman"/>
          <w:b/>
          <w:bCs/>
          <w:sz w:val="24"/>
          <w:szCs w:val="24"/>
        </w:rPr>
        <w:t xml:space="preserve">Primary Care Transformation - </w:t>
      </w:r>
      <w:r w:rsidRPr="006502E2">
        <w:rPr>
          <w:rFonts w:ascii="Times New Roman" w:hAnsi="Times New Roman" w:cs="Times New Roman"/>
          <w:sz w:val="24"/>
          <w:szCs w:val="24"/>
        </w:rPr>
        <w:t>Primary care providers are a key point of contact for patients’ health care needs. Strengthening and increasing access to primary care is critical to promoting health and reducing overall health care costs. Advanced primary care practices – also called “medical homes” – utilize a team-based approach, while emphasizing prevention, health information technology, care coordination, and shared decision making among patients and their providers.</w:t>
      </w:r>
    </w:p>
    <w:p w:rsidR="006502E2" w:rsidRPr="006502E2" w:rsidRDefault="006502E2" w:rsidP="006502E2">
      <w:pPr>
        <w:spacing w:after="0" w:line="240" w:lineRule="auto"/>
        <w:ind w:left="720"/>
        <w:rPr>
          <w:rFonts w:ascii="Times New Roman" w:hAnsi="Times New Roman" w:cs="Times New Roman"/>
          <w:sz w:val="24"/>
          <w:szCs w:val="24"/>
        </w:rPr>
      </w:pPr>
    </w:p>
    <w:p w:rsidR="006502E2" w:rsidRDefault="006502E2" w:rsidP="006754BA">
      <w:pPr>
        <w:numPr>
          <w:ilvl w:val="0"/>
          <w:numId w:val="2"/>
        </w:numPr>
        <w:spacing w:after="0" w:line="240" w:lineRule="auto"/>
        <w:rPr>
          <w:rFonts w:ascii="Times New Roman" w:hAnsi="Times New Roman" w:cs="Times New Roman"/>
          <w:sz w:val="24"/>
          <w:szCs w:val="24"/>
        </w:rPr>
      </w:pPr>
      <w:r w:rsidRPr="006502E2">
        <w:rPr>
          <w:rFonts w:ascii="Times New Roman" w:hAnsi="Times New Roman" w:cs="Times New Roman"/>
          <w:b/>
          <w:bCs/>
          <w:sz w:val="24"/>
          <w:szCs w:val="24"/>
        </w:rPr>
        <w:t xml:space="preserve">Initiatives Focused on the Medicaid and CHIP Population - </w:t>
      </w:r>
      <w:r w:rsidRPr="006502E2">
        <w:rPr>
          <w:rFonts w:ascii="Times New Roman" w:hAnsi="Times New Roman" w:cs="Times New Roman"/>
          <w:sz w:val="24"/>
          <w:szCs w:val="24"/>
        </w:rPr>
        <w:t>Medicaid and the Children’s Health Insurance Program (CHIP) are administered by the states but are jointly funded by the federal government and states. Initiatives in this category are administered by the participating states.</w:t>
      </w:r>
    </w:p>
    <w:p w:rsidR="006502E2" w:rsidRPr="006502E2" w:rsidRDefault="006502E2" w:rsidP="006502E2">
      <w:pPr>
        <w:spacing w:after="0" w:line="240" w:lineRule="auto"/>
        <w:ind w:left="720"/>
        <w:rPr>
          <w:rFonts w:ascii="Times New Roman" w:hAnsi="Times New Roman" w:cs="Times New Roman"/>
          <w:sz w:val="24"/>
          <w:szCs w:val="24"/>
        </w:rPr>
      </w:pPr>
    </w:p>
    <w:p w:rsidR="006502E2" w:rsidRDefault="006502E2" w:rsidP="001B154C">
      <w:pPr>
        <w:numPr>
          <w:ilvl w:val="0"/>
          <w:numId w:val="2"/>
        </w:numPr>
        <w:spacing w:after="0" w:line="240" w:lineRule="auto"/>
        <w:rPr>
          <w:rFonts w:ascii="Times New Roman" w:hAnsi="Times New Roman" w:cs="Times New Roman"/>
          <w:sz w:val="24"/>
          <w:szCs w:val="24"/>
        </w:rPr>
      </w:pPr>
      <w:r w:rsidRPr="006502E2">
        <w:rPr>
          <w:rFonts w:ascii="Times New Roman" w:hAnsi="Times New Roman" w:cs="Times New Roman"/>
          <w:b/>
          <w:bCs/>
          <w:sz w:val="24"/>
          <w:szCs w:val="24"/>
        </w:rPr>
        <w:t xml:space="preserve">Initiatives Focused on the Medicare-Medicaid Enrollees - </w:t>
      </w:r>
      <w:r w:rsidRPr="006502E2">
        <w:rPr>
          <w:rFonts w:ascii="Times New Roman" w:hAnsi="Times New Roman" w:cs="Times New Roman"/>
          <w:sz w:val="24"/>
          <w:szCs w:val="24"/>
        </w:rPr>
        <w:t xml:space="preserve">The Medicare and Medicaid programs were designed with distinct purposes. Individuals enrolled in both Medicare and Medicaid (the “dual eligibles”) account for a disproportionate share of the programs’ </w:t>
      </w:r>
      <w:r w:rsidRPr="006502E2">
        <w:rPr>
          <w:rFonts w:ascii="Times New Roman" w:hAnsi="Times New Roman" w:cs="Times New Roman"/>
          <w:sz w:val="24"/>
          <w:szCs w:val="24"/>
        </w:rPr>
        <w:lastRenderedPageBreak/>
        <w:t>expenditures. A fully integrated, person-centered system of care that ensures that all their needs are met could better serve this population in a high quality, cost effective manner.</w:t>
      </w:r>
    </w:p>
    <w:p w:rsidR="006502E2" w:rsidRPr="006502E2" w:rsidRDefault="006502E2" w:rsidP="006502E2">
      <w:pPr>
        <w:spacing w:after="0" w:line="240" w:lineRule="auto"/>
        <w:ind w:left="720"/>
        <w:rPr>
          <w:rFonts w:ascii="Times New Roman" w:hAnsi="Times New Roman" w:cs="Times New Roman"/>
          <w:sz w:val="24"/>
          <w:szCs w:val="24"/>
        </w:rPr>
      </w:pPr>
    </w:p>
    <w:p w:rsidR="006502E2" w:rsidRDefault="006502E2" w:rsidP="000A7B9E">
      <w:pPr>
        <w:numPr>
          <w:ilvl w:val="0"/>
          <w:numId w:val="2"/>
        </w:numPr>
        <w:spacing w:after="0" w:line="240" w:lineRule="auto"/>
        <w:rPr>
          <w:rFonts w:ascii="Times New Roman" w:hAnsi="Times New Roman" w:cs="Times New Roman"/>
          <w:sz w:val="24"/>
          <w:szCs w:val="24"/>
        </w:rPr>
      </w:pPr>
      <w:r w:rsidRPr="006502E2">
        <w:rPr>
          <w:rFonts w:ascii="Times New Roman" w:hAnsi="Times New Roman" w:cs="Times New Roman"/>
          <w:b/>
          <w:bCs/>
          <w:sz w:val="24"/>
          <w:szCs w:val="24"/>
        </w:rPr>
        <w:t xml:space="preserve">Initiatives to Accelerate the Development and Testing of New Payment and Service Delivery Models - </w:t>
      </w:r>
      <w:r w:rsidRPr="006502E2">
        <w:rPr>
          <w:rFonts w:ascii="Times New Roman" w:hAnsi="Times New Roman" w:cs="Times New Roman"/>
          <w:sz w:val="24"/>
          <w:szCs w:val="24"/>
        </w:rPr>
        <w:t>Many innovations necessary to improve the health care system will come from local communities and health care leaders from across the entire country. By partnering with these local and regional stakeholders, CMS can help accelerate the testing of models today that may be the next breakthrough tomorrow.</w:t>
      </w:r>
    </w:p>
    <w:p w:rsidR="006502E2" w:rsidRPr="006502E2" w:rsidRDefault="006502E2" w:rsidP="006502E2">
      <w:pPr>
        <w:spacing w:after="0" w:line="240" w:lineRule="auto"/>
        <w:ind w:left="720"/>
        <w:rPr>
          <w:rFonts w:ascii="Times New Roman" w:hAnsi="Times New Roman" w:cs="Times New Roman"/>
          <w:sz w:val="24"/>
          <w:szCs w:val="24"/>
        </w:rPr>
      </w:pPr>
    </w:p>
    <w:p w:rsidR="006502E2" w:rsidRPr="006502E2" w:rsidRDefault="006502E2" w:rsidP="00E33979">
      <w:pPr>
        <w:numPr>
          <w:ilvl w:val="0"/>
          <w:numId w:val="2"/>
        </w:numPr>
        <w:spacing w:after="0" w:line="240" w:lineRule="auto"/>
        <w:rPr>
          <w:rFonts w:ascii="Times New Roman" w:hAnsi="Times New Roman" w:cs="Times New Roman"/>
          <w:sz w:val="24"/>
          <w:szCs w:val="24"/>
        </w:rPr>
      </w:pPr>
      <w:r w:rsidRPr="006502E2">
        <w:rPr>
          <w:rFonts w:ascii="Times New Roman" w:hAnsi="Times New Roman" w:cs="Times New Roman"/>
          <w:b/>
          <w:bCs/>
          <w:sz w:val="24"/>
          <w:szCs w:val="24"/>
        </w:rPr>
        <w:t xml:space="preserve">Initiatives to Speed the Adoption of Best Practices - </w:t>
      </w:r>
      <w:r w:rsidRPr="006502E2">
        <w:rPr>
          <w:rFonts w:ascii="Times New Roman" w:hAnsi="Times New Roman" w:cs="Times New Roman"/>
          <w:sz w:val="24"/>
          <w:szCs w:val="24"/>
        </w:rPr>
        <w:t>Recent studies indicate that it takes nearly 17 years on average before best practices - backed by research - are incorporated into widespread clinical practice—and even then the application of the knowledge is very uneven. The Innovation Center is partnering with a broad range of health care providers, federal agencies professional societies and other experts and stakeholders to test new models for disseminating evidence-based best practices and significantly increasing the speed of adoption.</w:t>
      </w:r>
    </w:p>
    <w:p w:rsidR="0048434F" w:rsidRDefault="0048434F" w:rsidP="0086312F">
      <w:pPr>
        <w:spacing w:after="0" w:line="240" w:lineRule="auto"/>
        <w:rPr>
          <w:rFonts w:ascii="Times New Roman" w:hAnsi="Times New Roman" w:cs="Times New Roman"/>
          <w:sz w:val="24"/>
          <w:szCs w:val="24"/>
        </w:rPr>
      </w:pPr>
    </w:p>
    <w:p w:rsidR="0048434F" w:rsidRPr="006200B6" w:rsidRDefault="0048434F" w:rsidP="0086312F">
      <w:pPr>
        <w:spacing w:after="0" w:line="240" w:lineRule="auto"/>
        <w:rPr>
          <w:rFonts w:ascii="Times New Roman" w:hAnsi="Times New Roman" w:cs="Times New Roman"/>
          <w:b/>
          <w:sz w:val="24"/>
          <w:szCs w:val="24"/>
        </w:rPr>
      </w:pPr>
      <w:r w:rsidRPr="006200B6">
        <w:rPr>
          <w:rFonts w:ascii="Times New Roman" w:hAnsi="Times New Roman" w:cs="Times New Roman"/>
          <w:b/>
          <w:sz w:val="24"/>
          <w:szCs w:val="24"/>
        </w:rPr>
        <w:t>C.</w:t>
      </w:r>
      <w:r w:rsidRPr="006200B6">
        <w:rPr>
          <w:rFonts w:ascii="Times New Roman" w:hAnsi="Times New Roman" w:cs="Times New Roman"/>
          <w:b/>
          <w:sz w:val="24"/>
          <w:szCs w:val="24"/>
        </w:rPr>
        <w:tab/>
      </w:r>
      <w:r w:rsidRPr="006200B6">
        <w:rPr>
          <w:rFonts w:ascii="Times New Roman" w:hAnsi="Times New Roman" w:cs="Times New Roman"/>
          <w:b/>
          <w:sz w:val="24"/>
          <w:szCs w:val="24"/>
          <w:u w:val="single"/>
        </w:rPr>
        <w:t>Practical tips for navigating kickback and Stark Law compliance</w:t>
      </w:r>
    </w:p>
    <w:p w:rsidR="0048434F" w:rsidRDefault="0048434F" w:rsidP="0086312F">
      <w:pPr>
        <w:spacing w:after="0" w:line="240" w:lineRule="auto"/>
        <w:rPr>
          <w:rFonts w:ascii="Times New Roman" w:hAnsi="Times New Roman" w:cs="Times New Roman"/>
          <w:sz w:val="24"/>
          <w:szCs w:val="24"/>
        </w:rPr>
      </w:pPr>
    </w:p>
    <w:p w:rsidR="0048434F" w:rsidRDefault="0048434F" w:rsidP="0086312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6200B6">
        <w:rPr>
          <w:rFonts w:ascii="Times New Roman" w:hAnsi="Times New Roman" w:cs="Times New Roman"/>
          <w:b/>
          <w:sz w:val="24"/>
          <w:szCs w:val="24"/>
        </w:rPr>
        <w:t>1.</w:t>
      </w:r>
      <w:r w:rsidRPr="006200B6">
        <w:rPr>
          <w:rFonts w:ascii="Times New Roman" w:hAnsi="Times New Roman" w:cs="Times New Roman"/>
          <w:b/>
          <w:sz w:val="24"/>
          <w:szCs w:val="24"/>
        </w:rPr>
        <w:tab/>
        <w:t>Physician Compensation</w:t>
      </w:r>
      <w:r w:rsidR="001752A3">
        <w:rPr>
          <w:rFonts w:ascii="Times New Roman" w:hAnsi="Times New Roman" w:cs="Times New Roman"/>
          <w:b/>
          <w:sz w:val="24"/>
          <w:szCs w:val="24"/>
        </w:rPr>
        <w:t xml:space="preserve"> and Practice Acquisitions</w:t>
      </w:r>
    </w:p>
    <w:p w:rsidR="00807A10" w:rsidRDefault="00807A10" w:rsidP="0086312F">
      <w:pPr>
        <w:spacing w:after="0" w:line="240" w:lineRule="auto"/>
        <w:rPr>
          <w:rFonts w:ascii="Times New Roman" w:hAnsi="Times New Roman" w:cs="Times New Roman"/>
          <w:sz w:val="24"/>
          <w:szCs w:val="24"/>
        </w:rPr>
      </w:pPr>
    </w:p>
    <w:p w:rsidR="00910FCF" w:rsidRDefault="00807A10" w:rsidP="00910FCF">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200B6">
        <w:rPr>
          <w:rFonts w:ascii="Times New Roman" w:hAnsi="Times New Roman" w:cs="Times New Roman"/>
          <w:b/>
          <w:sz w:val="24"/>
          <w:szCs w:val="24"/>
        </w:rPr>
        <w:t>a.</w:t>
      </w:r>
      <w:r w:rsidRPr="006200B6">
        <w:rPr>
          <w:rFonts w:ascii="Times New Roman" w:hAnsi="Times New Roman" w:cs="Times New Roman"/>
          <w:b/>
          <w:sz w:val="24"/>
          <w:szCs w:val="24"/>
        </w:rPr>
        <w:tab/>
      </w:r>
      <w:r w:rsidR="00D712C6" w:rsidRPr="006200B6">
        <w:rPr>
          <w:rFonts w:ascii="Times New Roman" w:hAnsi="Times New Roman" w:cs="Times New Roman"/>
          <w:b/>
          <w:sz w:val="24"/>
          <w:szCs w:val="24"/>
        </w:rPr>
        <w:t>Trend towa</w:t>
      </w:r>
      <w:r w:rsidR="00910FCF">
        <w:rPr>
          <w:rFonts w:ascii="Times New Roman" w:hAnsi="Times New Roman" w:cs="Times New Roman"/>
          <w:b/>
          <w:sz w:val="24"/>
          <w:szCs w:val="24"/>
        </w:rPr>
        <w:t>rd hospital employed physicians</w:t>
      </w:r>
    </w:p>
    <w:p w:rsidR="00910FCF" w:rsidRDefault="00910FCF" w:rsidP="00910FCF">
      <w:pPr>
        <w:spacing w:after="0" w:line="240" w:lineRule="auto"/>
        <w:rPr>
          <w:rFonts w:ascii="Times New Roman" w:hAnsi="Times New Roman" w:cs="Times New Roman"/>
          <w:b/>
          <w:sz w:val="24"/>
          <w:szCs w:val="24"/>
        </w:rPr>
      </w:pPr>
    </w:p>
    <w:p w:rsidR="00910FCF" w:rsidRDefault="00910FCF" w:rsidP="00910FCF">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712C6">
        <w:rPr>
          <w:rFonts w:ascii="Times New Roman" w:hAnsi="Times New Roman" w:cs="Times New Roman"/>
          <w:sz w:val="24"/>
          <w:szCs w:val="24"/>
        </w:rPr>
        <w:t>i.</w:t>
      </w:r>
      <w:r w:rsidR="00D712C6">
        <w:rPr>
          <w:rFonts w:ascii="Times New Roman" w:hAnsi="Times New Roman" w:cs="Times New Roman"/>
          <w:sz w:val="24"/>
          <w:szCs w:val="24"/>
        </w:rPr>
        <w:tab/>
        <w:t xml:space="preserve">Trend may have stabilized temporarily as hospitals digest many acquired physicians.  </w:t>
      </w:r>
      <w:r w:rsidR="00D712C6">
        <w:rPr>
          <w:rFonts w:ascii="Times New Roman" w:hAnsi="Times New Roman" w:cs="Times New Roman"/>
          <w:i/>
          <w:sz w:val="24"/>
          <w:szCs w:val="24"/>
        </w:rPr>
        <w:t xml:space="preserve">See </w:t>
      </w:r>
      <w:hyperlink r:id="rId33" w:history="1">
        <w:r w:rsidR="00D712C6" w:rsidRPr="0017733F">
          <w:rPr>
            <w:rStyle w:val="Hyperlink"/>
            <w:rFonts w:ascii="Times New Roman" w:hAnsi="Times New Roman" w:cs="Times New Roman"/>
            <w:sz w:val="24"/>
            <w:szCs w:val="24"/>
          </w:rPr>
          <w:t>https://www.hfma.org/Content.aspx?id=54498</w:t>
        </w:r>
      </w:hyperlink>
      <w:r w:rsidR="00D712C6">
        <w:rPr>
          <w:rFonts w:ascii="Times New Roman" w:hAnsi="Times New Roman" w:cs="Times New Roman"/>
          <w:i/>
          <w:sz w:val="24"/>
          <w:szCs w:val="24"/>
        </w:rPr>
        <w:t xml:space="preserve"> </w:t>
      </w:r>
      <w:r w:rsidR="00D712C6">
        <w:rPr>
          <w:rFonts w:ascii="Times New Roman" w:hAnsi="Times New Roman" w:cs="Times New Roman"/>
          <w:sz w:val="24"/>
          <w:szCs w:val="24"/>
        </w:rPr>
        <w:t>(last viewed Jan. 24, 2018).</w:t>
      </w:r>
    </w:p>
    <w:p w:rsidR="00910FCF" w:rsidRDefault="00910FCF" w:rsidP="00910FCF">
      <w:pPr>
        <w:spacing w:after="0" w:line="240" w:lineRule="auto"/>
        <w:rPr>
          <w:rFonts w:ascii="Times New Roman" w:hAnsi="Times New Roman" w:cs="Times New Roman"/>
          <w:b/>
          <w:sz w:val="24"/>
          <w:szCs w:val="24"/>
        </w:rPr>
      </w:pPr>
    </w:p>
    <w:p w:rsidR="006A0933" w:rsidRPr="00910FCF" w:rsidRDefault="00910FCF" w:rsidP="00910FCF">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A0933">
        <w:rPr>
          <w:rFonts w:ascii="Times New Roman" w:hAnsi="Times New Roman" w:cs="Times New Roman"/>
          <w:sz w:val="24"/>
          <w:szCs w:val="24"/>
        </w:rPr>
        <w:t>ii.</w:t>
      </w:r>
      <w:r w:rsidR="006A0933">
        <w:rPr>
          <w:rFonts w:ascii="Times New Roman" w:hAnsi="Times New Roman" w:cs="Times New Roman"/>
          <w:sz w:val="24"/>
          <w:szCs w:val="24"/>
        </w:rPr>
        <w:tab/>
        <w:t>Some states still prohibit hospital employed physicians due to corporate practice of medicine laws (including California).</w:t>
      </w:r>
    </w:p>
    <w:p w:rsidR="006A0933" w:rsidRDefault="006A0933" w:rsidP="006A0933">
      <w:pPr>
        <w:spacing w:after="0" w:line="240" w:lineRule="auto"/>
        <w:rPr>
          <w:rFonts w:ascii="Times New Roman" w:hAnsi="Times New Roman" w:cs="Times New Roman"/>
          <w:sz w:val="24"/>
          <w:szCs w:val="24"/>
        </w:rPr>
      </w:pPr>
    </w:p>
    <w:p w:rsidR="006A0933" w:rsidRPr="006200B6" w:rsidRDefault="006A0933" w:rsidP="006A093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200B6">
        <w:rPr>
          <w:rFonts w:ascii="Times New Roman" w:hAnsi="Times New Roman" w:cs="Times New Roman"/>
          <w:b/>
          <w:sz w:val="24"/>
          <w:szCs w:val="24"/>
        </w:rPr>
        <w:t>b.</w:t>
      </w:r>
      <w:r w:rsidRPr="006200B6">
        <w:rPr>
          <w:rFonts w:ascii="Times New Roman" w:hAnsi="Times New Roman" w:cs="Times New Roman"/>
          <w:b/>
          <w:sz w:val="24"/>
          <w:szCs w:val="24"/>
        </w:rPr>
        <w:tab/>
        <w:t>Hospital employed model</w:t>
      </w:r>
    </w:p>
    <w:p w:rsidR="006A0933" w:rsidRDefault="006A0933" w:rsidP="006A0933">
      <w:pPr>
        <w:spacing w:after="0" w:line="240" w:lineRule="auto"/>
        <w:rPr>
          <w:rFonts w:ascii="Times New Roman" w:hAnsi="Times New Roman" w:cs="Times New Roman"/>
          <w:sz w:val="24"/>
          <w:szCs w:val="24"/>
        </w:rPr>
      </w:pPr>
    </w:p>
    <w:p w:rsidR="006A0933" w:rsidRDefault="006A0933" w:rsidP="006A093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Broad kickback safe harbor for employed physicians for “</w:t>
      </w:r>
      <w:r w:rsidRPr="006A0933">
        <w:rPr>
          <w:rFonts w:ascii="Times New Roman" w:hAnsi="Times New Roman" w:cs="Times New Roman"/>
          <w:sz w:val="24"/>
          <w:szCs w:val="24"/>
        </w:rPr>
        <w:t>any amount paid by an employer</w:t>
      </w:r>
      <w:r>
        <w:rPr>
          <w:rFonts w:ascii="Times New Roman" w:hAnsi="Times New Roman" w:cs="Times New Roman"/>
          <w:sz w:val="24"/>
          <w:szCs w:val="24"/>
        </w:rPr>
        <w:t xml:space="preserve"> </w:t>
      </w:r>
      <w:r w:rsidRPr="006A0933">
        <w:rPr>
          <w:rFonts w:ascii="Times New Roman" w:hAnsi="Times New Roman" w:cs="Times New Roman"/>
          <w:sz w:val="24"/>
          <w:szCs w:val="24"/>
        </w:rPr>
        <w:t>to an employee, who has a bona fide employment relationship with the employer, for employment in the furnishing of</w:t>
      </w:r>
      <w:r>
        <w:rPr>
          <w:rFonts w:ascii="Times New Roman" w:hAnsi="Times New Roman" w:cs="Times New Roman"/>
          <w:sz w:val="24"/>
          <w:szCs w:val="24"/>
        </w:rPr>
        <w:t xml:space="preserve"> </w:t>
      </w:r>
      <w:r w:rsidRPr="006A0933">
        <w:rPr>
          <w:rFonts w:ascii="Times New Roman" w:hAnsi="Times New Roman" w:cs="Times New Roman"/>
          <w:sz w:val="24"/>
          <w:szCs w:val="24"/>
        </w:rPr>
        <w:t>any item or service for which payment may be made in whole or in part under Medicare, Medicaid or other Federal</w:t>
      </w:r>
      <w:r>
        <w:rPr>
          <w:rFonts w:ascii="Times New Roman" w:hAnsi="Times New Roman" w:cs="Times New Roman"/>
          <w:sz w:val="24"/>
          <w:szCs w:val="24"/>
        </w:rPr>
        <w:t xml:space="preserve"> </w:t>
      </w:r>
      <w:r w:rsidRPr="006A0933">
        <w:rPr>
          <w:rFonts w:ascii="Times New Roman" w:hAnsi="Times New Roman" w:cs="Times New Roman"/>
          <w:sz w:val="24"/>
          <w:szCs w:val="24"/>
        </w:rPr>
        <w:t>health care programs</w:t>
      </w:r>
      <w:r>
        <w:rPr>
          <w:rFonts w:ascii="Times New Roman" w:hAnsi="Times New Roman" w:cs="Times New Roman"/>
          <w:sz w:val="24"/>
          <w:szCs w:val="24"/>
        </w:rPr>
        <w:t xml:space="preserve">.”  42 C.F.R. §1001.952(i).  </w:t>
      </w:r>
    </w:p>
    <w:p w:rsidR="006A0933" w:rsidRDefault="006A0933" w:rsidP="006A0933">
      <w:pPr>
        <w:spacing w:after="0" w:line="240" w:lineRule="auto"/>
        <w:rPr>
          <w:rFonts w:ascii="Times New Roman" w:hAnsi="Times New Roman" w:cs="Times New Roman"/>
          <w:sz w:val="24"/>
          <w:szCs w:val="24"/>
        </w:rPr>
      </w:pPr>
    </w:p>
    <w:p w:rsidR="006A0933" w:rsidRDefault="006A0933" w:rsidP="006A093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Stark employment exception is more restrictive than the kickback safe harbor, and requires</w:t>
      </w:r>
      <w:r w:rsidR="00A71D21">
        <w:rPr>
          <w:rFonts w:ascii="Times New Roman" w:hAnsi="Times New Roman" w:cs="Times New Roman"/>
          <w:sz w:val="24"/>
          <w:szCs w:val="24"/>
        </w:rPr>
        <w:t xml:space="preserve"> that the remuneration is</w:t>
      </w:r>
      <w:r>
        <w:rPr>
          <w:rFonts w:ascii="Times New Roman" w:hAnsi="Times New Roman" w:cs="Times New Roman"/>
          <w:sz w:val="24"/>
          <w:szCs w:val="24"/>
        </w:rPr>
        <w:t>:</w:t>
      </w:r>
    </w:p>
    <w:p w:rsidR="006A0933" w:rsidRDefault="006A0933" w:rsidP="006A0933">
      <w:pPr>
        <w:spacing w:after="0" w:line="240" w:lineRule="auto"/>
        <w:rPr>
          <w:rFonts w:ascii="Times New Roman" w:hAnsi="Times New Roman" w:cs="Times New Roman"/>
          <w:sz w:val="24"/>
          <w:szCs w:val="24"/>
        </w:rPr>
      </w:pPr>
    </w:p>
    <w:p w:rsidR="006A0933" w:rsidRDefault="006A0933" w:rsidP="006A093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00A71D21" w:rsidRPr="00A71D21">
        <w:rPr>
          <w:rFonts w:ascii="Times New Roman" w:hAnsi="Times New Roman" w:cs="Times New Roman"/>
          <w:sz w:val="24"/>
          <w:szCs w:val="24"/>
        </w:rPr>
        <w:t>Consistent with the fair market value of the services</w:t>
      </w:r>
      <w:r w:rsidR="00A71D21">
        <w:rPr>
          <w:rFonts w:ascii="Times New Roman" w:hAnsi="Times New Roman" w:cs="Times New Roman"/>
          <w:sz w:val="24"/>
          <w:szCs w:val="24"/>
        </w:rPr>
        <w:t>;</w:t>
      </w:r>
    </w:p>
    <w:p w:rsidR="00A71D21" w:rsidRDefault="00A71D21" w:rsidP="006A0933">
      <w:pPr>
        <w:spacing w:after="0" w:line="240" w:lineRule="auto"/>
        <w:rPr>
          <w:rFonts w:ascii="Times New Roman" w:hAnsi="Times New Roman" w:cs="Times New Roman"/>
          <w:sz w:val="24"/>
          <w:szCs w:val="24"/>
        </w:rPr>
      </w:pPr>
    </w:p>
    <w:p w:rsidR="00A71D21" w:rsidRPr="00A71D21" w:rsidRDefault="00A71D21" w:rsidP="00A71D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N</w:t>
      </w:r>
      <w:r w:rsidRPr="00A71D21">
        <w:rPr>
          <w:rFonts w:ascii="Times New Roman" w:hAnsi="Times New Roman" w:cs="Times New Roman"/>
          <w:sz w:val="24"/>
          <w:szCs w:val="24"/>
        </w:rPr>
        <w:t>ot determined in a manner that takes into account</w:t>
      </w:r>
    </w:p>
    <w:p w:rsidR="00A71D21" w:rsidRDefault="00A71D21" w:rsidP="00A71D21">
      <w:pPr>
        <w:spacing w:after="0" w:line="240" w:lineRule="auto"/>
        <w:rPr>
          <w:rFonts w:ascii="Times New Roman" w:hAnsi="Times New Roman" w:cs="Times New Roman"/>
          <w:sz w:val="24"/>
          <w:szCs w:val="24"/>
        </w:rPr>
      </w:pPr>
      <w:r w:rsidRPr="00A71D21">
        <w:rPr>
          <w:rFonts w:ascii="Times New Roman" w:hAnsi="Times New Roman" w:cs="Times New Roman"/>
          <w:sz w:val="24"/>
          <w:szCs w:val="24"/>
        </w:rPr>
        <w:t>(directly or indirectly) the volume or value of any referrals by the referring physician</w:t>
      </w:r>
      <w:r>
        <w:rPr>
          <w:rFonts w:ascii="Times New Roman" w:hAnsi="Times New Roman" w:cs="Times New Roman"/>
          <w:sz w:val="24"/>
          <w:szCs w:val="24"/>
        </w:rPr>
        <w:t>, e</w:t>
      </w:r>
      <w:r>
        <w:t xml:space="preserve">xcept for </w:t>
      </w:r>
      <w:r w:rsidRPr="00A71D21">
        <w:rPr>
          <w:rFonts w:ascii="Times New Roman" w:hAnsi="Times New Roman" w:cs="Times New Roman"/>
          <w:sz w:val="24"/>
          <w:szCs w:val="24"/>
        </w:rPr>
        <w:t>productivity</w:t>
      </w:r>
      <w:r>
        <w:rPr>
          <w:rFonts w:ascii="Times New Roman" w:hAnsi="Times New Roman" w:cs="Times New Roman"/>
          <w:sz w:val="24"/>
          <w:szCs w:val="24"/>
        </w:rPr>
        <w:t xml:space="preserve"> </w:t>
      </w:r>
      <w:r w:rsidRPr="00A71D21">
        <w:rPr>
          <w:rFonts w:ascii="Times New Roman" w:hAnsi="Times New Roman" w:cs="Times New Roman"/>
          <w:sz w:val="24"/>
          <w:szCs w:val="24"/>
        </w:rPr>
        <w:t>bonus</w:t>
      </w:r>
      <w:r>
        <w:rPr>
          <w:rFonts w:ascii="Times New Roman" w:hAnsi="Times New Roman" w:cs="Times New Roman"/>
          <w:sz w:val="24"/>
          <w:szCs w:val="24"/>
        </w:rPr>
        <w:t>es</w:t>
      </w:r>
      <w:r w:rsidRPr="00A71D21">
        <w:rPr>
          <w:rFonts w:ascii="Times New Roman" w:hAnsi="Times New Roman" w:cs="Times New Roman"/>
          <w:sz w:val="24"/>
          <w:szCs w:val="24"/>
        </w:rPr>
        <w:t xml:space="preserve"> based on services performed personally by the physician</w:t>
      </w:r>
      <w:r>
        <w:rPr>
          <w:rFonts w:ascii="Times New Roman" w:hAnsi="Times New Roman" w:cs="Times New Roman"/>
          <w:sz w:val="24"/>
          <w:szCs w:val="24"/>
        </w:rPr>
        <w:t xml:space="preserve">; and </w:t>
      </w:r>
    </w:p>
    <w:p w:rsidR="00A71D21" w:rsidRDefault="00A71D21" w:rsidP="00A71D21">
      <w:pPr>
        <w:spacing w:after="0" w:line="240" w:lineRule="auto"/>
        <w:rPr>
          <w:rFonts w:ascii="Times New Roman" w:hAnsi="Times New Roman" w:cs="Times New Roman"/>
          <w:sz w:val="24"/>
          <w:szCs w:val="24"/>
        </w:rPr>
      </w:pPr>
    </w:p>
    <w:p w:rsidR="00A71D21" w:rsidRDefault="00A71D21" w:rsidP="00A71D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P</w:t>
      </w:r>
      <w:r w:rsidRPr="00A71D21">
        <w:rPr>
          <w:rFonts w:ascii="Times New Roman" w:hAnsi="Times New Roman" w:cs="Times New Roman"/>
          <w:sz w:val="24"/>
          <w:szCs w:val="24"/>
        </w:rPr>
        <w:t>rovided under an arrangement that would be commercially reasonable even if no referrals</w:t>
      </w:r>
      <w:r>
        <w:rPr>
          <w:rFonts w:ascii="Times New Roman" w:hAnsi="Times New Roman" w:cs="Times New Roman"/>
          <w:sz w:val="24"/>
          <w:szCs w:val="24"/>
        </w:rPr>
        <w:t xml:space="preserve"> </w:t>
      </w:r>
      <w:r w:rsidRPr="00A71D21">
        <w:rPr>
          <w:rFonts w:ascii="Times New Roman" w:hAnsi="Times New Roman" w:cs="Times New Roman"/>
          <w:sz w:val="24"/>
          <w:szCs w:val="24"/>
        </w:rPr>
        <w:t>were made to the employer.</w:t>
      </w:r>
      <w:r>
        <w:rPr>
          <w:rFonts w:ascii="Times New Roman" w:hAnsi="Times New Roman" w:cs="Times New Roman"/>
          <w:sz w:val="24"/>
          <w:szCs w:val="24"/>
        </w:rPr>
        <w:t xml:space="preserve">  42 C.F.R. § 411.357(c).</w:t>
      </w:r>
    </w:p>
    <w:p w:rsidR="00A71D21" w:rsidRDefault="00A71D21" w:rsidP="00A71D21">
      <w:pPr>
        <w:spacing w:after="0" w:line="240" w:lineRule="auto"/>
        <w:rPr>
          <w:rFonts w:ascii="Times New Roman" w:hAnsi="Times New Roman" w:cs="Times New Roman"/>
          <w:sz w:val="24"/>
          <w:szCs w:val="24"/>
        </w:rPr>
      </w:pPr>
    </w:p>
    <w:p w:rsidR="00A71D21" w:rsidRDefault="00A71D21" w:rsidP="00A71D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iii.  </w:t>
      </w:r>
      <w:r>
        <w:rPr>
          <w:rFonts w:ascii="Times New Roman" w:hAnsi="Times New Roman" w:cs="Times New Roman"/>
          <w:sz w:val="24"/>
          <w:szCs w:val="24"/>
        </w:rPr>
        <w:tab/>
        <w:t>Variable physician compensation in a hospital employed model is permitted as long as the productivity bonuses are based on services personally performed by the physician.</w:t>
      </w:r>
    </w:p>
    <w:p w:rsidR="00A71D21" w:rsidRDefault="00A71D21" w:rsidP="00A71D21">
      <w:pPr>
        <w:spacing w:after="0" w:line="240" w:lineRule="auto"/>
        <w:rPr>
          <w:rFonts w:ascii="Times New Roman" w:hAnsi="Times New Roman" w:cs="Times New Roman"/>
          <w:sz w:val="24"/>
          <w:szCs w:val="24"/>
        </w:rPr>
      </w:pPr>
    </w:p>
    <w:p w:rsidR="005049C7" w:rsidRDefault="00A71D21" w:rsidP="00A71D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r>
        <w:rPr>
          <w:rFonts w:ascii="Times New Roman" w:hAnsi="Times New Roman" w:cs="Times New Roman"/>
          <w:sz w:val="24"/>
          <w:szCs w:val="24"/>
        </w:rPr>
        <w:tab/>
        <w:t xml:space="preserve">Variable physician compensation in a hospital employed model are frequently based on the </w:t>
      </w:r>
      <w:r w:rsidR="005049C7">
        <w:rPr>
          <w:rFonts w:ascii="Times New Roman" w:hAnsi="Times New Roman" w:cs="Times New Roman"/>
          <w:sz w:val="24"/>
          <w:szCs w:val="24"/>
        </w:rPr>
        <w:t>physician work</w:t>
      </w:r>
      <w:r>
        <w:rPr>
          <w:rFonts w:ascii="Times New Roman" w:hAnsi="Times New Roman" w:cs="Times New Roman"/>
          <w:sz w:val="24"/>
          <w:szCs w:val="24"/>
        </w:rPr>
        <w:t xml:space="preserve"> component of the physicians’ Relative Value Units (RVUs</w:t>
      </w:r>
      <w:r w:rsidR="005049C7">
        <w:rPr>
          <w:rFonts w:ascii="Times New Roman" w:hAnsi="Times New Roman" w:cs="Times New Roman"/>
          <w:sz w:val="24"/>
          <w:szCs w:val="24"/>
        </w:rPr>
        <w:t>/wRVUs</w:t>
      </w:r>
      <w:r>
        <w:rPr>
          <w:rFonts w:ascii="Times New Roman" w:hAnsi="Times New Roman" w:cs="Times New Roman"/>
          <w:sz w:val="24"/>
          <w:szCs w:val="24"/>
        </w:rPr>
        <w:t>).</w:t>
      </w:r>
    </w:p>
    <w:p w:rsidR="005049C7" w:rsidRDefault="005049C7" w:rsidP="00A71D21">
      <w:pPr>
        <w:spacing w:after="0" w:line="240" w:lineRule="auto"/>
        <w:rPr>
          <w:rFonts w:ascii="Times New Roman" w:hAnsi="Times New Roman" w:cs="Times New Roman"/>
          <w:sz w:val="24"/>
          <w:szCs w:val="24"/>
        </w:rPr>
      </w:pPr>
    </w:p>
    <w:p w:rsidR="005049C7" w:rsidRDefault="005049C7" w:rsidP="00A71D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r>
      <w:r w:rsidRPr="00CD54CA">
        <w:rPr>
          <w:rFonts w:ascii="Times New Roman" w:hAnsi="Times New Roman" w:cs="Times New Roman"/>
          <w:sz w:val="24"/>
          <w:szCs w:val="24"/>
          <w:highlight w:val="yellow"/>
        </w:rPr>
        <w:t xml:space="preserve">Compliance </w:t>
      </w:r>
      <w:r w:rsidR="00CD54CA" w:rsidRPr="00CD54CA">
        <w:rPr>
          <w:rFonts w:ascii="Times New Roman" w:hAnsi="Times New Roman" w:cs="Times New Roman"/>
          <w:sz w:val="24"/>
          <w:szCs w:val="24"/>
          <w:highlight w:val="yellow"/>
        </w:rPr>
        <w:t>tips</w:t>
      </w:r>
      <w:r w:rsidRPr="00CD54CA">
        <w:rPr>
          <w:rFonts w:ascii="Times New Roman" w:hAnsi="Times New Roman" w:cs="Times New Roman"/>
          <w:sz w:val="24"/>
          <w:szCs w:val="24"/>
          <w:highlight w:val="yellow"/>
        </w:rPr>
        <w:t xml:space="preserve"> in a hospital employed model</w:t>
      </w:r>
    </w:p>
    <w:p w:rsidR="005049C7" w:rsidRDefault="005049C7" w:rsidP="00A71D21">
      <w:pPr>
        <w:spacing w:after="0" w:line="240" w:lineRule="auto"/>
        <w:rPr>
          <w:rFonts w:ascii="Times New Roman" w:hAnsi="Times New Roman" w:cs="Times New Roman"/>
          <w:sz w:val="24"/>
          <w:szCs w:val="24"/>
        </w:rPr>
      </w:pPr>
    </w:p>
    <w:p w:rsidR="005049C7" w:rsidRDefault="005049C7" w:rsidP="00A71D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RVUs should not include the practice expense component or malpractice component of the physician’s RVUs;</w:t>
      </w:r>
    </w:p>
    <w:p w:rsidR="005049C7" w:rsidRDefault="005049C7" w:rsidP="00A71D21">
      <w:pPr>
        <w:spacing w:after="0" w:line="240" w:lineRule="auto"/>
        <w:rPr>
          <w:rFonts w:ascii="Times New Roman" w:hAnsi="Times New Roman" w:cs="Times New Roman"/>
          <w:sz w:val="24"/>
          <w:szCs w:val="24"/>
        </w:rPr>
      </w:pPr>
    </w:p>
    <w:p w:rsidR="005049C7" w:rsidRDefault="005049C7" w:rsidP="00A71D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Rate of $ per wRVU should not increase as RVUs increase because this method can result in compensation exceeding FMV;</w:t>
      </w:r>
    </w:p>
    <w:p w:rsidR="005049C7" w:rsidRDefault="005049C7" w:rsidP="00A71D21">
      <w:pPr>
        <w:spacing w:after="0" w:line="240" w:lineRule="auto"/>
        <w:rPr>
          <w:rFonts w:ascii="Times New Roman" w:hAnsi="Times New Roman" w:cs="Times New Roman"/>
          <w:sz w:val="24"/>
          <w:szCs w:val="24"/>
        </w:rPr>
      </w:pPr>
    </w:p>
    <w:p w:rsidR="00A71D21" w:rsidRDefault="005049C7" w:rsidP="00A71D2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wRVUs should be limited to the physician’s personally performed wRVUs and should not include wRVUs performed by physician extenders (nurse practitioners or physician’s assistants);</w:t>
      </w:r>
    </w:p>
    <w:p w:rsidR="005049C7" w:rsidRDefault="005049C7" w:rsidP="00A71D21">
      <w:pPr>
        <w:spacing w:after="0" w:line="240" w:lineRule="auto"/>
        <w:rPr>
          <w:rFonts w:ascii="Times New Roman" w:hAnsi="Times New Roman" w:cs="Times New Roman"/>
          <w:sz w:val="24"/>
          <w:szCs w:val="24"/>
        </w:rPr>
      </w:pPr>
    </w:p>
    <w:p w:rsidR="006E7199" w:rsidRDefault="005049C7" w:rsidP="006E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Compensation should not vary with the volume or va</w:t>
      </w:r>
      <w:r w:rsidR="00A13A47">
        <w:rPr>
          <w:rFonts w:ascii="Times New Roman" w:hAnsi="Times New Roman" w:cs="Times New Roman"/>
          <w:sz w:val="24"/>
          <w:szCs w:val="24"/>
        </w:rPr>
        <w:t>lue</w:t>
      </w:r>
      <w:r>
        <w:rPr>
          <w:rFonts w:ascii="Times New Roman" w:hAnsi="Times New Roman" w:cs="Times New Roman"/>
          <w:sz w:val="24"/>
          <w:szCs w:val="24"/>
        </w:rPr>
        <w:t xml:space="preserve"> of referrals.  </w:t>
      </w:r>
      <w:r>
        <w:rPr>
          <w:rFonts w:ascii="Times New Roman" w:hAnsi="Times New Roman" w:cs="Times New Roman"/>
          <w:i/>
          <w:sz w:val="24"/>
          <w:szCs w:val="24"/>
        </w:rPr>
        <w:t xml:space="preserve">See </w:t>
      </w:r>
      <w:r w:rsidR="006E7199" w:rsidRPr="006E7199">
        <w:rPr>
          <w:rFonts w:ascii="Times New Roman" w:hAnsi="Times New Roman" w:cs="Times New Roman"/>
          <w:i/>
          <w:sz w:val="24"/>
          <w:szCs w:val="24"/>
        </w:rPr>
        <w:t xml:space="preserve">U.S. ex rel. Baklid-Kunz v. Halifax Hosp. Med. Ctr., </w:t>
      </w:r>
      <w:r w:rsidR="006E7199" w:rsidRPr="006E7199">
        <w:rPr>
          <w:rFonts w:ascii="Times New Roman" w:hAnsi="Times New Roman" w:cs="Times New Roman"/>
          <w:sz w:val="24"/>
          <w:szCs w:val="24"/>
        </w:rPr>
        <w:t>6:09-CV-1002-ORL-31, 2013 WL 6017329, at *</w:t>
      </w:r>
      <w:r w:rsidR="006E7199">
        <w:rPr>
          <w:rFonts w:ascii="Times New Roman" w:hAnsi="Times New Roman" w:cs="Times New Roman"/>
          <w:sz w:val="24"/>
          <w:szCs w:val="24"/>
        </w:rPr>
        <w:t>8</w:t>
      </w:r>
      <w:r w:rsidR="006E7199" w:rsidRPr="006E7199">
        <w:rPr>
          <w:rFonts w:ascii="Times New Roman" w:hAnsi="Times New Roman" w:cs="Times New Roman"/>
          <w:sz w:val="24"/>
          <w:szCs w:val="24"/>
        </w:rPr>
        <w:t xml:space="preserve"> (M.D. Fla. Nov. 13, 2013)</w:t>
      </w:r>
      <w:r w:rsidR="006E7199">
        <w:rPr>
          <w:rFonts w:ascii="Times New Roman" w:hAnsi="Times New Roman" w:cs="Times New Roman"/>
          <w:sz w:val="24"/>
          <w:szCs w:val="24"/>
        </w:rPr>
        <w:t xml:space="preserve"> (incentive</w:t>
      </w:r>
      <w:r w:rsidR="006E7199" w:rsidRPr="006E7199">
        <w:rPr>
          <w:rFonts w:ascii="Times New Roman" w:hAnsi="Times New Roman" w:cs="Times New Roman"/>
          <w:sz w:val="24"/>
          <w:szCs w:val="24"/>
        </w:rPr>
        <w:t xml:space="preserve"> </w:t>
      </w:r>
      <w:r w:rsidR="006E7199">
        <w:rPr>
          <w:rFonts w:ascii="Times New Roman" w:hAnsi="Times New Roman" w:cs="Times New Roman"/>
          <w:sz w:val="24"/>
          <w:szCs w:val="24"/>
        </w:rPr>
        <w:t>b</w:t>
      </w:r>
      <w:r w:rsidR="006E7199" w:rsidRPr="006E7199">
        <w:rPr>
          <w:rFonts w:ascii="Times New Roman" w:hAnsi="Times New Roman" w:cs="Times New Roman"/>
          <w:sz w:val="24"/>
          <w:szCs w:val="24"/>
        </w:rPr>
        <w:t>onus equal to 15 percent of the operating margin of the Medical Oncology program, and the program's revenue included fees for designated health services such as outpatient prescription drugs and outpatient services not personally performed by the Medical Oncologists</w:t>
      </w:r>
      <w:r w:rsidR="006E7199">
        <w:rPr>
          <w:rFonts w:ascii="Times New Roman" w:hAnsi="Times New Roman" w:cs="Times New Roman"/>
          <w:sz w:val="24"/>
          <w:szCs w:val="24"/>
        </w:rPr>
        <w:t xml:space="preserve">, </w:t>
      </w:r>
      <w:r w:rsidR="00A13A47">
        <w:rPr>
          <w:rFonts w:ascii="Times New Roman" w:hAnsi="Times New Roman" w:cs="Times New Roman"/>
          <w:sz w:val="24"/>
          <w:szCs w:val="24"/>
        </w:rPr>
        <w:t>varied with the volume or value of referrals in violation of Stark Law).</w:t>
      </w:r>
    </w:p>
    <w:p w:rsidR="00A13A47" w:rsidRDefault="00A13A47" w:rsidP="006E7199">
      <w:pPr>
        <w:spacing w:after="0" w:line="240" w:lineRule="auto"/>
        <w:rPr>
          <w:rFonts w:ascii="Times New Roman" w:hAnsi="Times New Roman" w:cs="Times New Roman"/>
          <w:sz w:val="24"/>
          <w:szCs w:val="24"/>
        </w:rPr>
      </w:pPr>
    </w:p>
    <w:p w:rsidR="00A13A47" w:rsidRDefault="00A13A47" w:rsidP="006E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w:t>
      </w:r>
      <w:r>
        <w:rPr>
          <w:rFonts w:ascii="Times New Roman" w:hAnsi="Times New Roman" w:cs="Times New Roman"/>
          <w:sz w:val="24"/>
          <w:szCs w:val="24"/>
        </w:rPr>
        <w:tab/>
      </w:r>
      <w:r w:rsidR="00CD54CA" w:rsidRPr="00CD54CA">
        <w:rPr>
          <w:rFonts w:ascii="Times New Roman" w:hAnsi="Times New Roman" w:cs="Times New Roman"/>
          <w:sz w:val="24"/>
          <w:szCs w:val="24"/>
          <w:highlight w:val="yellow"/>
        </w:rPr>
        <w:t>Compliance tips on p</w:t>
      </w:r>
      <w:r w:rsidRPr="00CD54CA">
        <w:rPr>
          <w:rFonts w:ascii="Times New Roman" w:hAnsi="Times New Roman" w:cs="Times New Roman"/>
          <w:sz w:val="24"/>
          <w:szCs w:val="24"/>
          <w:highlight w:val="yellow"/>
        </w:rPr>
        <w:t>hysician compensation unrelated to direct patient care</w:t>
      </w:r>
    </w:p>
    <w:p w:rsidR="00A13A47" w:rsidRDefault="00A13A47" w:rsidP="006E7199">
      <w:pPr>
        <w:spacing w:after="0" w:line="240" w:lineRule="auto"/>
        <w:rPr>
          <w:rFonts w:ascii="Times New Roman" w:hAnsi="Times New Roman" w:cs="Times New Roman"/>
          <w:sz w:val="24"/>
          <w:szCs w:val="24"/>
        </w:rPr>
      </w:pPr>
    </w:p>
    <w:p w:rsidR="00A13A47" w:rsidRDefault="00A13A47" w:rsidP="006E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Medical directorships</w:t>
      </w:r>
    </w:p>
    <w:p w:rsidR="00A13A47" w:rsidRDefault="00A13A47" w:rsidP="006E7199">
      <w:pPr>
        <w:spacing w:after="0" w:line="240" w:lineRule="auto"/>
        <w:rPr>
          <w:rFonts w:ascii="Times New Roman" w:hAnsi="Times New Roman" w:cs="Times New Roman"/>
          <w:sz w:val="24"/>
          <w:szCs w:val="24"/>
        </w:rPr>
      </w:pPr>
    </w:p>
    <w:p w:rsidR="00A13A47" w:rsidRDefault="00A13A47" w:rsidP="006E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Should not exceed FMV for the time required</w:t>
      </w:r>
      <w:r w:rsidR="006200B6">
        <w:rPr>
          <w:rFonts w:ascii="Times New Roman" w:hAnsi="Times New Roman" w:cs="Times New Roman"/>
          <w:sz w:val="24"/>
          <w:szCs w:val="24"/>
        </w:rPr>
        <w:t>.</w:t>
      </w:r>
    </w:p>
    <w:p w:rsidR="00A13A47" w:rsidRDefault="00A13A47" w:rsidP="006E7199">
      <w:pPr>
        <w:spacing w:after="0" w:line="240" w:lineRule="auto"/>
        <w:rPr>
          <w:rFonts w:ascii="Times New Roman" w:hAnsi="Times New Roman" w:cs="Times New Roman"/>
          <w:sz w:val="24"/>
          <w:szCs w:val="24"/>
        </w:rPr>
      </w:pPr>
    </w:p>
    <w:p w:rsidR="00A13A47" w:rsidRDefault="00A13A47" w:rsidP="006E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Time sheets</w:t>
      </w:r>
      <w:r w:rsidR="006200B6">
        <w:rPr>
          <w:rFonts w:ascii="Times New Roman" w:hAnsi="Times New Roman" w:cs="Times New Roman"/>
          <w:sz w:val="24"/>
          <w:szCs w:val="24"/>
        </w:rPr>
        <w:t>?</w:t>
      </w:r>
    </w:p>
    <w:p w:rsidR="00A13A47" w:rsidRDefault="00A13A47" w:rsidP="006E7199">
      <w:pPr>
        <w:spacing w:after="0" w:line="240" w:lineRule="auto"/>
        <w:rPr>
          <w:rFonts w:ascii="Times New Roman" w:hAnsi="Times New Roman" w:cs="Times New Roman"/>
          <w:sz w:val="24"/>
          <w:szCs w:val="24"/>
        </w:rPr>
      </w:pPr>
    </w:p>
    <w:p w:rsidR="00A13A47" w:rsidRDefault="00A13A47" w:rsidP="006E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Redundancy -  multiple directorships within the same medical specialty</w:t>
      </w:r>
      <w:r w:rsidR="006200B6">
        <w:rPr>
          <w:rFonts w:ascii="Times New Roman" w:hAnsi="Times New Roman" w:cs="Times New Roman"/>
          <w:sz w:val="24"/>
          <w:szCs w:val="24"/>
        </w:rPr>
        <w:t>.</w:t>
      </w:r>
    </w:p>
    <w:p w:rsidR="00A13A47" w:rsidRDefault="00A13A47" w:rsidP="006E7199">
      <w:pPr>
        <w:spacing w:after="0" w:line="240" w:lineRule="auto"/>
        <w:rPr>
          <w:rFonts w:ascii="Times New Roman" w:hAnsi="Times New Roman" w:cs="Times New Roman"/>
          <w:sz w:val="24"/>
          <w:szCs w:val="24"/>
        </w:rPr>
      </w:pPr>
    </w:p>
    <w:p w:rsidR="00A13A47" w:rsidRDefault="00A13A47" w:rsidP="006E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Call coverage</w:t>
      </w:r>
    </w:p>
    <w:p w:rsidR="00A13A47" w:rsidRDefault="00A13A47" w:rsidP="006E7199">
      <w:pPr>
        <w:spacing w:after="0" w:line="240" w:lineRule="auto"/>
        <w:rPr>
          <w:rFonts w:ascii="Times New Roman" w:hAnsi="Times New Roman" w:cs="Times New Roman"/>
          <w:sz w:val="24"/>
          <w:szCs w:val="24"/>
        </w:rPr>
      </w:pPr>
    </w:p>
    <w:p w:rsidR="00A13A47" w:rsidRDefault="00A13A47" w:rsidP="006E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Should not exceed FMV for the time required and the opportunity to performed collectible professional services when called</w:t>
      </w:r>
      <w:r w:rsidR="006200B6">
        <w:rPr>
          <w:rFonts w:ascii="Times New Roman" w:hAnsi="Times New Roman" w:cs="Times New Roman"/>
          <w:sz w:val="24"/>
          <w:szCs w:val="24"/>
        </w:rPr>
        <w:t>.</w:t>
      </w:r>
    </w:p>
    <w:p w:rsidR="00A13A47" w:rsidRDefault="00A13A47" w:rsidP="006E7199">
      <w:pPr>
        <w:spacing w:after="0" w:line="240" w:lineRule="auto"/>
        <w:rPr>
          <w:rFonts w:ascii="Times New Roman" w:hAnsi="Times New Roman" w:cs="Times New Roman"/>
          <w:sz w:val="24"/>
          <w:szCs w:val="24"/>
        </w:rPr>
      </w:pPr>
    </w:p>
    <w:p w:rsidR="00A13A47" w:rsidRDefault="00A13A47" w:rsidP="006E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Changes in call compensation should be well-justified</w:t>
      </w:r>
      <w:r w:rsidR="006200B6">
        <w:rPr>
          <w:rFonts w:ascii="Times New Roman" w:hAnsi="Times New Roman" w:cs="Times New Roman"/>
          <w:sz w:val="24"/>
          <w:szCs w:val="24"/>
        </w:rPr>
        <w:t>.</w:t>
      </w:r>
    </w:p>
    <w:p w:rsidR="00A13A47" w:rsidRDefault="00A13A47" w:rsidP="006E7199">
      <w:pPr>
        <w:spacing w:after="0" w:line="240" w:lineRule="auto"/>
        <w:rPr>
          <w:rFonts w:ascii="Times New Roman" w:hAnsi="Times New Roman" w:cs="Times New Roman"/>
          <w:sz w:val="24"/>
          <w:szCs w:val="24"/>
        </w:rPr>
      </w:pPr>
    </w:p>
    <w:p w:rsidR="00A13A47" w:rsidRDefault="00A13A47" w:rsidP="006E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Exclusive call arrangements for all 365 days per year</w:t>
      </w:r>
      <w:r w:rsidR="006200B6">
        <w:rPr>
          <w:rFonts w:ascii="Times New Roman" w:hAnsi="Times New Roman" w:cs="Times New Roman"/>
          <w:sz w:val="24"/>
          <w:szCs w:val="24"/>
        </w:rPr>
        <w:t>.</w:t>
      </w:r>
    </w:p>
    <w:p w:rsidR="007B534C" w:rsidRDefault="007B534C" w:rsidP="006E7199">
      <w:pPr>
        <w:spacing w:after="0" w:line="240" w:lineRule="auto"/>
        <w:rPr>
          <w:rFonts w:ascii="Times New Roman" w:hAnsi="Times New Roman" w:cs="Times New Roman"/>
          <w:sz w:val="24"/>
          <w:szCs w:val="24"/>
        </w:rPr>
      </w:pPr>
    </w:p>
    <w:p w:rsidR="007B534C" w:rsidRDefault="007B534C" w:rsidP="006E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 xml:space="preserve">Hospital paying for physician extenders benefiting the </w:t>
      </w:r>
      <w:r w:rsidR="00910FCF">
        <w:rPr>
          <w:rFonts w:ascii="Times New Roman" w:hAnsi="Times New Roman" w:cs="Times New Roman"/>
          <w:sz w:val="24"/>
          <w:szCs w:val="24"/>
        </w:rPr>
        <w:t>physician</w:t>
      </w:r>
      <w:r>
        <w:rPr>
          <w:rFonts w:ascii="Times New Roman" w:hAnsi="Times New Roman" w:cs="Times New Roman"/>
          <w:sz w:val="24"/>
          <w:szCs w:val="24"/>
        </w:rPr>
        <w:t xml:space="preserve"> practice</w:t>
      </w:r>
      <w:r w:rsidR="006200B6">
        <w:rPr>
          <w:rFonts w:ascii="Times New Roman" w:hAnsi="Times New Roman" w:cs="Times New Roman"/>
          <w:sz w:val="24"/>
          <w:szCs w:val="24"/>
        </w:rPr>
        <w:t>.</w:t>
      </w:r>
    </w:p>
    <w:p w:rsidR="007B534C" w:rsidRDefault="007B534C" w:rsidP="006E7199">
      <w:pPr>
        <w:spacing w:after="0" w:line="240" w:lineRule="auto"/>
        <w:rPr>
          <w:rFonts w:ascii="Times New Roman" w:hAnsi="Times New Roman" w:cs="Times New Roman"/>
          <w:sz w:val="24"/>
          <w:szCs w:val="24"/>
        </w:rPr>
      </w:pPr>
    </w:p>
    <w:p w:rsidR="007B534C" w:rsidRDefault="007B534C" w:rsidP="006E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Should not include extenders productivity in RVU</w:t>
      </w:r>
      <w:r w:rsidR="009A00D7">
        <w:rPr>
          <w:rFonts w:ascii="Times New Roman" w:hAnsi="Times New Roman" w:cs="Times New Roman"/>
          <w:sz w:val="24"/>
          <w:szCs w:val="24"/>
        </w:rPr>
        <w:t>-</w:t>
      </w:r>
      <w:r>
        <w:rPr>
          <w:rFonts w:ascii="Times New Roman" w:hAnsi="Times New Roman" w:cs="Times New Roman"/>
          <w:sz w:val="24"/>
          <w:szCs w:val="24"/>
        </w:rPr>
        <w:t xml:space="preserve">based </w:t>
      </w:r>
      <w:r w:rsidR="009A00D7">
        <w:rPr>
          <w:rFonts w:ascii="Times New Roman" w:hAnsi="Times New Roman" w:cs="Times New Roman"/>
          <w:sz w:val="24"/>
          <w:szCs w:val="24"/>
        </w:rPr>
        <w:t xml:space="preserve">physician </w:t>
      </w:r>
      <w:r>
        <w:rPr>
          <w:rFonts w:ascii="Times New Roman" w:hAnsi="Times New Roman" w:cs="Times New Roman"/>
          <w:sz w:val="24"/>
          <w:szCs w:val="24"/>
        </w:rPr>
        <w:t>compensation in a hospital employed model</w:t>
      </w:r>
      <w:r w:rsidR="006200B6">
        <w:rPr>
          <w:rFonts w:ascii="Times New Roman" w:hAnsi="Times New Roman" w:cs="Times New Roman"/>
          <w:sz w:val="24"/>
          <w:szCs w:val="24"/>
        </w:rPr>
        <w:t>.</w:t>
      </w:r>
    </w:p>
    <w:p w:rsidR="007B534C" w:rsidRDefault="007B534C" w:rsidP="006E7199">
      <w:pPr>
        <w:spacing w:after="0" w:line="240" w:lineRule="auto"/>
        <w:rPr>
          <w:rFonts w:ascii="Times New Roman" w:hAnsi="Times New Roman" w:cs="Times New Roman"/>
          <w:sz w:val="24"/>
          <w:szCs w:val="24"/>
        </w:rPr>
      </w:pPr>
    </w:p>
    <w:p w:rsidR="007B534C" w:rsidRDefault="007B534C" w:rsidP="006E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Need to delineate extenders services that benefit the hospital vs. extender services that benefit the physicians.</w:t>
      </w:r>
    </w:p>
    <w:p w:rsidR="00A13A47" w:rsidRDefault="00A13A47" w:rsidP="006E7199">
      <w:pPr>
        <w:spacing w:after="0" w:line="240" w:lineRule="auto"/>
        <w:rPr>
          <w:rFonts w:ascii="Times New Roman" w:hAnsi="Times New Roman" w:cs="Times New Roman"/>
          <w:sz w:val="24"/>
          <w:szCs w:val="24"/>
        </w:rPr>
      </w:pPr>
    </w:p>
    <w:p w:rsidR="00A13A47" w:rsidRPr="006200B6" w:rsidRDefault="00A13A47" w:rsidP="006E7199">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200B6">
        <w:rPr>
          <w:rFonts w:ascii="Times New Roman" w:hAnsi="Times New Roman" w:cs="Times New Roman"/>
          <w:b/>
          <w:sz w:val="24"/>
          <w:szCs w:val="24"/>
        </w:rPr>
        <w:t>c.</w:t>
      </w:r>
      <w:r w:rsidRPr="006200B6">
        <w:rPr>
          <w:rFonts w:ascii="Times New Roman" w:hAnsi="Times New Roman" w:cs="Times New Roman"/>
          <w:b/>
          <w:sz w:val="24"/>
          <w:szCs w:val="24"/>
        </w:rPr>
        <w:tab/>
        <w:t>Physician group practice model</w:t>
      </w:r>
    </w:p>
    <w:p w:rsidR="00A13A47" w:rsidRDefault="00A13A47" w:rsidP="006E7199">
      <w:pPr>
        <w:spacing w:after="0" w:line="240" w:lineRule="auto"/>
        <w:rPr>
          <w:rFonts w:ascii="Times New Roman" w:hAnsi="Times New Roman" w:cs="Times New Roman"/>
          <w:sz w:val="24"/>
          <w:szCs w:val="24"/>
        </w:rPr>
      </w:pPr>
    </w:p>
    <w:p w:rsidR="00A13A47" w:rsidRDefault="00A13A47" w:rsidP="006E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0B0B">
        <w:rPr>
          <w:rFonts w:ascii="Times New Roman" w:hAnsi="Times New Roman" w:cs="Times New Roman"/>
          <w:sz w:val="24"/>
          <w:szCs w:val="24"/>
        </w:rPr>
        <w:t>i.</w:t>
      </w:r>
      <w:r w:rsidR="00A40B0B">
        <w:rPr>
          <w:rFonts w:ascii="Times New Roman" w:hAnsi="Times New Roman" w:cs="Times New Roman"/>
          <w:sz w:val="24"/>
          <w:szCs w:val="24"/>
        </w:rPr>
        <w:tab/>
        <w:t xml:space="preserve">Broad kickback safe harbor for Stark compliant physician group practices.  </w:t>
      </w:r>
      <w:r w:rsidR="00A40B0B" w:rsidRPr="00A40B0B">
        <w:rPr>
          <w:rFonts w:ascii="Times New Roman" w:hAnsi="Times New Roman" w:cs="Times New Roman"/>
          <w:sz w:val="24"/>
          <w:szCs w:val="24"/>
        </w:rPr>
        <w:t>42 CFR § 1001.952(p)</w:t>
      </w:r>
      <w:r w:rsidR="00A40B0B">
        <w:rPr>
          <w:rFonts w:ascii="Times New Roman" w:hAnsi="Times New Roman" w:cs="Times New Roman"/>
          <w:sz w:val="24"/>
          <w:szCs w:val="24"/>
        </w:rPr>
        <w:t>.</w:t>
      </w:r>
    </w:p>
    <w:p w:rsidR="00A40B0B" w:rsidRDefault="00A40B0B" w:rsidP="006E7199">
      <w:pPr>
        <w:spacing w:after="0" w:line="240" w:lineRule="auto"/>
        <w:rPr>
          <w:rFonts w:ascii="Times New Roman" w:hAnsi="Times New Roman" w:cs="Times New Roman"/>
          <w:sz w:val="24"/>
          <w:szCs w:val="24"/>
        </w:rPr>
      </w:pPr>
    </w:p>
    <w:p w:rsidR="00A40B0B" w:rsidRDefault="00A40B0B" w:rsidP="006E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 xml:space="preserve">Stark – Physician group practice is technically not a Stark exception, but </w:t>
      </w:r>
      <w:r w:rsidR="007B534C">
        <w:rPr>
          <w:rFonts w:ascii="Times New Roman" w:hAnsi="Times New Roman" w:cs="Times New Roman"/>
          <w:sz w:val="24"/>
          <w:szCs w:val="24"/>
        </w:rPr>
        <w:t xml:space="preserve">Stark-compliant </w:t>
      </w:r>
      <w:r>
        <w:rPr>
          <w:rFonts w:ascii="Times New Roman" w:hAnsi="Times New Roman" w:cs="Times New Roman"/>
          <w:sz w:val="24"/>
          <w:szCs w:val="24"/>
        </w:rPr>
        <w:t>physician group practices gain greater compensation flexibility under Stark’s in-office ancillary services (IOAS) exception.  42 C.F.R. 411.355.</w:t>
      </w:r>
    </w:p>
    <w:p w:rsidR="00A40B0B" w:rsidRDefault="00A40B0B" w:rsidP="006E7199">
      <w:pPr>
        <w:spacing w:after="0" w:line="240" w:lineRule="auto"/>
        <w:rPr>
          <w:rFonts w:ascii="Times New Roman" w:hAnsi="Times New Roman" w:cs="Times New Roman"/>
          <w:sz w:val="24"/>
          <w:szCs w:val="24"/>
        </w:rPr>
      </w:pPr>
    </w:p>
    <w:p w:rsidR="00A40B0B" w:rsidRDefault="00A40B0B" w:rsidP="006E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t>Benefits to being a Stark-compliant physician group practice</w:t>
      </w:r>
    </w:p>
    <w:p w:rsidR="00A40B0B" w:rsidRDefault="00A40B0B" w:rsidP="006E7199">
      <w:pPr>
        <w:spacing w:after="0" w:line="240" w:lineRule="auto"/>
        <w:rPr>
          <w:rFonts w:ascii="Times New Roman" w:hAnsi="Times New Roman" w:cs="Times New Roman"/>
          <w:sz w:val="24"/>
          <w:szCs w:val="24"/>
        </w:rPr>
      </w:pPr>
    </w:p>
    <w:p w:rsidR="00A40B0B" w:rsidRDefault="00A40B0B" w:rsidP="006E719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 </w:t>
      </w:r>
      <w:r>
        <w:rPr>
          <w:rFonts w:ascii="Times New Roman" w:hAnsi="Times New Roman" w:cs="Times New Roman"/>
          <w:sz w:val="24"/>
          <w:szCs w:val="24"/>
        </w:rPr>
        <w:tab/>
      </w:r>
      <w:r w:rsidRPr="00A40B0B">
        <w:rPr>
          <w:rFonts w:ascii="Times New Roman" w:hAnsi="Times New Roman" w:cs="Times New Roman"/>
          <w:sz w:val="24"/>
          <w:szCs w:val="24"/>
        </w:rPr>
        <w:t>Allows remuneration that varies with referrals of physician services and IOAS within group practice.</w:t>
      </w:r>
    </w:p>
    <w:p w:rsidR="00A40B0B" w:rsidRDefault="00A40B0B" w:rsidP="006E7199">
      <w:pPr>
        <w:spacing w:after="0" w:line="240" w:lineRule="auto"/>
        <w:rPr>
          <w:rFonts w:ascii="Times New Roman" w:hAnsi="Times New Roman" w:cs="Times New Roman"/>
          <w:sz w:val="24"/>
          <w:szCs w:val="24"/>
        </w:rPr>
      </w:pPr>
    </w:p>
    <w:p w:rsidR="00A40B0B" w:rsidRDefault="00A40B0B" w:rsidP="00A40B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Pr="00A40B0B">
        <w:rPr>
          <w:rFonts w:ascii="Times New Roman" w:hAnsi="Times New Roman" w:cs="Times New Roman"/>
          <w:sz w:val="24"/>
          <w:szCs w:val="24"/>
        </w:rPr>
        <w:t>Special physician compensation rules under Sta</w:t>
      </w:r>
      <w:r>
        <w:rPr>
          <w:rFonts w:ascii="Times New Roman" w:hAnsi="Times New Roman" w:cs="Times New Roman"/>
          <w:sz w:val="24"/>
          <w:szCs w:val="24"/>
        </w:rPr>
        <w:t>rk permit the group practice to s</w:t>
      </w:r>
      <w:r w:rsidRPr="00A40B0B">
        <w:rPr>
          <w:rFonts w:ascii="Times New Roman" w:hAnsi="Times New Roman" w:cs="Times New Roman"/>
          <w:sz w:val="24"/>
          <w:szCs w:val="24"/>
        </w:rPr>
        <w:t>hare profits with its member physicians</w:t>
      </w:r>
      <w:r>
        <w:rPr>
          <w:rFonts w:ascii="Times New Roman" w:hAnsi="Times New Roman" w:cs="Times New Roman"/>
          <w:sz w:val="24"/>
          <w:szCs w:val="24"/>
        </w:rPr>
        <w:t xml:space="preserve"> and p</w:t>
      </w:r>
      <w:r w:rsidRPr="00A40B0B">
        <w:rPr>
          <w:rFonts w:ascii="Times New Roman" w:hAnsi="Times New Roman" w:cs="Times New Roman"/>
          <w:sz w:val="24"/>
          <w:szCs w:val="24"/>
        </w:rPr>
        <w:t>ay productivity bonuses</w:t>
      </w:r>
      <w:r>
        <w:rPr>
          <w:rFonts w:ascii="Times New Roman" w:hAnsi="Times New Roman" w:cs="Times New Roman"/>
          <w:sz w:val="24"/>
          <w:szCs w:val="24"/>
        </w:rPr>
        <w:t xml:space="preserve"> (includ</w:t>
      </w:r>
      <w:r w:rsidR="007B534C">
        <w:rPr>
          <w:rFonts w:ascii="Times New Roman" w:hAnsi="Times New Roman" w:cs="Times New Roman"/>
          <w:sz w:val="24"/>
          <w:szCs w:val="24"/>
        </w:rPr>
        <w:t>ing</w:t>
      </w:r>
      <w:r>
        <w:rPr>
          <w:rFonts w:ascii="Times New Roman" w:hAnsi="Times New Roman" w:cs="Times New Roman"/>
          <w:sz w:val="24"/>
          <w:szCs w:val="24"/>
        </w:rPr>
        <w:t xml:space="preserve"> services performed by other members of the group practice)</w:t>
      </w:r>
      <w:r w:rsidRPr="00A40B0B">
        <w:rPr>
          <w:rFonts w:ascii="Times New Roman" w:hAnsi="Times New Roman" w:cs="Times New Roman"/>
          <w:sz w:val="24"/>
          <w:szCs w:val="24"/>
        </w:rPr>
        <w:t xml:space="preserve"> to its member physicians.</w:t>
      </w:r>
    </w:p>
    <w:p w:rsidR="00A40B0B" w:rsidRDefault="00A40B0B" w:rsidP="00A40B0B">
      <w:pPr>
        <w:spacing w:after="0" w:line="240" w:lineRule="auto"/>
        <w:rPr>
          <w:rFonts w:ascii="Times New Roman" w:hAnsi="Times New Roman" w:cs="Times New Roman"/>
          <w:sz w:val="24"/>
          <w:szCs w:val="24"/>
        </w:rPr>
      </w:pPr>
    </w:p>
    <w:p w:rsidR="00A40B0B" w:rsidRDefault="007B534C" w:rsidP="00A40B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Pr="007B534C">
        <w:rPr>
          <w:rFonts w:ascii="Times New Roman" w:hAnsi="Times New Roman" w:cs="Times New Roman"/>
          <w:sz w:val="24"/>
          <w:szCs w:val="24"/>
        </w:rPr>
        <w:t>Kickback safe harbor available if Stark group practice requirements are satisfied.</w:t>
      </w:r>
    </w:p>
    <w:p w:rsidR="007B534C" w:rsidRDefault="007B534C" w:rsidP="00A40B0B">
      <w:pPr>
        <w:spacing w:after="0" w:line="240" w:lineRule="auto"/>
        <w:rPr>
          <w:rFonts w:ascii="Times New Roman" w:hAnsi="Times New Roman" w:cs="Times New Roman"/>
          <w:sz w:val="24"/>
          <w:szCs w:val="24"/>
        </w:rPr>
      </w:pPr>
    </w:p>
    <w:p w:rsidR="007B534C" w:rsidRDefault="007B534C" w:rsidP="00A40B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r>
        <w:rPr>
          <w:rFonts w:ascii="Times New Roman" w:hAnsi="Times New Roman" w:cs="Times New Roman"/>
          <w:sz w:val="24"/>
          <w:szCs w:val="24"/>
        </w:rPr>
        <w:tab/>
        <w:t xml:space="preserve">Eight requirements for a Stark-compliant </w:t>
      </w:r>
      <w:r w:rsidR="00970968">
        <w:rPr>
          <w:rFonts w:ascii="Times New Roman" w:hAnsi="Times New Roman" w:cs="Times New Roman"/>
          <w:sz w:val="24"/>
          <w:szCs w:val="24"/>
        </w:rPr>
        <w:t xml:space="preserve">physician </w:t>
      </w:r>
      <w:r>
        <w:rPr>
          <w:rFonts w:ascii="Times New Roman" w:hAnsi="Times New Roman" w:cs="Times New Roman"/>
          <w:sz w:val="24"/>
          <w:szCs w:val="24"/>
        </w:rPr>
        <w:t>group practice:</w:t>
      </w:r>
    </w:p>
    <w:p w:rsidR="007B534C" w:rsidRDefault="007B534C" w:rsidP="00A40B0B">
      <w:pPr>
        <w:spacing w:after="0" w:line="240" w:lineRule="auto"/>
        <w:rPr>
          <w:rFonts w:ascii="Times New Roman" w:hAnsi="Times New Roman" w:cs="Times New Roman"/>
          <w:sz w:val="24"/>
          <w:szCs w:val="24"/>
        </w:rPr>
      </w:pPr>
    </w:p>
    <w:p w:rsidR="007B534C" w:rsidRDefault="007B534C" w:rsidP="00A40B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r>
      <w:r w:rsidR="00970968">
        <w:rPr>
          <w:rFonts w:ascii="Times New Roman" w:hAnsi="Times New Roman" w:cs="Times New Roman"/>
          <w:sz w:val="24"/>
          <w:szCs w:val="24"/>
        </w:rPr>
        <w:t xml:space="preserve">Single Legal Entity - </w:t>
      </w:r>
      <w:r w:rsidRPr="007B534C">
        <w:rPr>
          <w:rFonts w:ascii="Times New Roman" w:hAnsi="Times New Roman" w:cs="Times New Roman"/>
          <w:sz w:val="24"/>
          <w:szCs w:val="24"/>
        </w:rPr>
        <w:t>Group practice must be single legal entity operating primarily for the purpose of being a physician group practice</w:t>
      </w:r>
      <w:r>
        <w:rPr>
          <w:rFonts w:ascii="Times New Roman" w:hAnsi="Times New Roman" w:cs="Times New Roman"/>
          <w:sz w:val="24"/>
          <w:szCs w:val="24"/>
        </w:rPr>
        <w:t>.</w:t>
      </w:r>
    </w:p>
    <w:p w:rsidR="007B534C" w:rsidRDefault="007B534C" w:rsidP="00A40B0B">
      <w:pPr>
        <w:spacing w:after="0" w:line="240" w:lineRule="auto"/>
        <w:rPr>
          <w:rFonts w:ascii="Times New Roman" w:hAnsi="Times New Roman" w:cs="Times New Roman"/>
          <w:sz w:val="24"/>
          <w:szCs w:val="24"/>
        </w:rPr>
      </w:pPr>
    </w:p>
    <w:p w:rsidR="007B534C" w:rsidRDefault="007B534C" w:rsidP="00A40B0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00970968">
        <w:rPr>
          <w:rFonts w:ascii="Times New Roman" w:hAnsi="Times New Roman" w:cs="Times New Roman"/>
          <w:sz w:val="24"/>
          <w:szCs w:val="24"/>
        </w:rPr>
        <w:t xml:space="preserve">At Least 2 Physicians - </w:t>
      </w:r>
      <w:r w:rsidR="00970968" w:rsidRPr="00970968">
        <w:rPr>
          <w:rFonts w:ascii="Times New Roman" w:hAnsi="Times New Roman" w:cs="Times New Roman"/>
          <w:sz w:val="24"/>
          <w:szCs w:val="24"/>
        </w:rPr>
        <w:t>Group practice must have at least two physicians who are members of the group (whether employees or direct or indirect owners).</w:t>
      </w:r>
    </w:p>
    <w:p w:rsidR="00970968" w:rsidRDefault="00970968" w:rsidP="00A40B0B">
      <w:pPr>
        <w:spacing w:after="0" w:line="240" w:lineRule="auto"/>
        <w:rPr>
          <w:rFonts w:ascii="Times New Roman" w:hAnsi="Times New Roman" w:cs="Times New Roman"/>
          <w:sz w:val="24"/>
          <w:szCs w:val="24"/>
        </w:rPr>
      </w:pPr>
    </w:p>
    <w:p w:rsidR="00970968" w:rsidRDefault="00970968" w:rsidP="00A40B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 xml:space="preserve">Range of Care - </w:t>
      </w:r>
      <w:r w:rsidRPr="00970968">
        <w:rPr>
          <w:rFonts w:ascii="Times New Roman" w:hAnsi="Times New Roman" w:cs="Times New Roman"/>
          <w:sz w:val="24"/>
          <w:szCs w:val="24"/>
        </w:rPr>
        <w:t>Each physician who is a member of the group must furnish substantially the full range of patient care services that the physician routinely furnishes</w:t>
      </w:r>
      <w:r>
        <w:rPr>
          <w:rFonts w:ascii="Times New Roman" w:hAnsi="Times New Roman" w:cs="Times New Roman"/>
          <w:sz w:val="24"/>
          <w:szCs w:val="24"/>
        </w:rPr>
        <w:t xml:space="preserve">.  </w:t>
      </w:r>
      <w:r w:rsidRPr="00970968">
        <w:rPr>
          <w:rFonts w:ascii="Times New Roman" w:hAnsi="Times New Roman" w:cs="Times New Roman"/>
          <w:sz w:val="24"/>
          <w:szCs w:val="24"/>
        </w:rPr>
        <w:t>Physicians may work elsewhere, but must provide substantially the full range of services for the group.</w:t>
      </w:r>
    </w:p>
    <w:p w:rsidR="00970968" w:rsidRDefault="00970968" w:rsidP="00A40B0B">
      <w:pPr>
        <w:spacing w:after="0" w:line="240" w:lineRule="auto"/>
        <w:rPr>
          <w:rFonts w:ascii="Times New Roman" w:hAnsi="Times New Roman" w:cs="Times New Roman"/>
          <w:sz w:val="24"/>
          <w:szCs w:val="24"/>
        </w:rPr>
      </w:pPr>
    </w:p>
    <w:p w:rsidR="00970968" w:rsidRDefault="00970968" w:rsidP="00A40B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Pr>
          <w:rFonts w:ascii="Times New Roman" w:hAnsi="Times New Roman" w:cs="Times New Roman"/>
          <w:sz w:val="24"/>
          <w:szCs w:val="24"/>
        </w:rPr>
        <w:tab/>
        <w:t xml:space="preserve">Substantially All Services Billed Through Group - </w:t>
      </w:r>
      <w:r w:rsidRPr="00970968">
        <w:rPr>
          <w:rFonts w:ascii="Times New Roman" w:hAnsi="Times New Roman" w:cs="Times New Roman"/>
          <w:sz w:val="24"/>
          <w:szCs w:val="24"/>
        </w:rPr>
        <w:t>Substantially all (that is, at least 75 percent of the total patient care services of the group practice members) must be furnished through the group and billed under a billing number assigned to the group.</w:t>
      </w:r>
    </w:p>
    <w:p w:rsidR="00970968" w:rsidRDefault="00970968" w:rsidP="00A40B0B">
      <w:pPr>
        <w:spacing w:after="0" w:line="240" w:lineRule="auto"/>
        <w:rPr>
          <w:rFonts w:ascii="Times New Roman" w:hAnsi="Times New Roman" w:cs="Times New Roman"/>
          <w:sz w:val="24"/>
          <w:szCs w:val="24"/>
        </w:rPr>
      </w:pPr>
    </w:p>
    <w:p w:rsidR="00970968" w:rsidRDefault="00970968" w:rsidP="00A40B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r>
      <w:r w:rsidR="00A915B9">
        <w:rPr>
          <w:rFonts w:ascii="Times New Roman" w:hAnsi="Times New Roman" w:cs="Times New Roman"/>
          <w:sz w:val="24"/>
          <w:szCs w:val="24"/>
        </w:rPr>
        <w:t xml:space="preserve">Distribution of </w:t>
      </w:r>
      <w:r>
        <w:rPr>
          <w:rFonts w:ascii="Times New Roman" w:hAnsi="Times New Roman" w:cs="Times New Roman"/>
          <w:sz w:val="24"/>
          <w:szCs w:val="24"/>
        </w:rPr>
        <w:t xml:space="preserve">Expenses and Income - </w:t>
      </w:r>
      <w:r w:rsidR="00A915B9" w:rsidRPr="00A915B9">
        <w:rPr>
          <w:rFonts w:ascii="Times New Roman" w:hAnsi="Times New Roman" w:cs="Times New Roman"/>
          <w:sz w:val="24"/>
          <w:szCs w:val="24"/>
        </w:rPr>
        <w:t>The overhead expenses of, and income from, the practice must be distributed according to methods that are determined before the receipt of payment for the services giving rise to the overhead expense or producing the income.</w:t>
      </w:r>
    </w:p>
    <w:p w:rsidR="00A915B9" w:rsidRDefault="00A915B9" w:rsidP="00A40B0B">
      <w:pPr>
        <w:spacing w:after="0" w:line="240" w:lineRule="auto"/>
        <w:rPr>
          <w:rFonts w:ascii="Times New Roman" w:hAnsi="Times New Roman" w:cs="Times New Roman"/>
          <w:sz w:val="24"/>
          <w:szCs w:val="24"/>
        </w:rPr>
      </w:pPr>
    </w:p>
    <w:p w:rsidR="00A915B9" w:rsidRDefault="00A915B9" w:rsidP="00A915B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w:t>
      </w:r>
      <w:r>
        <w:rPr>
          <w:rFonts w:ascii="Times New Roman" w:hAnsi="Times New Roman" w:cs="Times New Roman"/>
          <w:sz w:val="24"/>
          <w:szCs w:val="24"/>
        </w:rPr>
        <w:tab/>
        <w:t xml:space="preserve">Unified Business - </w:t>
      </w:r>
      <w:r w:rsidRPr="00A915B9">
        <w:rPr>
          <w:rFonts w:ascii="Times New Roman" w:hAnsi="Times New Roman" w:cs="Times New Roman"/>
          <w:sz w:val="24"/>
          <w:szCs w:val="24"/>
        </w:rPr>
        <w:t>The group practice must be a unified business having at least the following features:</w:t>
      </w:r>
    </w:p>
    <w:p w:rsidR="00A915B9" w:rsidRPr="00A915B9" w:rsidRDefault="00A915B9" w:rsidP="00A915B9">
      <w:pPr>
        <w:spacing w:after="0" w:line="240" w:lineRule="auto"/>
        <w:rPr>
          <w:rFonts w:ascii="Times New Roman" w:hAnsi="Times New Roman" w:cs="Times New Roman"/>
          <w:sz w:val="24"/>
          <w:szCs w:val="24"/>
        </w:rPr>
      </w:pPr>
    </w:p>
    <w:p w:rsidR="00A915B9" w:rsidRDefault="00A915B9" w:rsidP="00A915B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A915B9">
        <w:rPr>
          <w:rFonts w:ascii="Times New Roman" w:hAnsi="Times New Roman" w:cs="Times New Roman"/>
          <w:sz w:val="24"/>
          <w:szCs w:val="24"/>
        </w:rPr>
        <w:t xml:space="preserve"> </w:t>
      </w:r>
      <w:r>
        <w:rPr>
          <w:rFonts w:ascii="Times New Roman" w:hAnsi="Times New Roman" w:cs="Times New Roman"/>
          <w:sz w:val="24"/>
          <w:szCs w:val="24"/>
        </w:rPr>
        <w:tab/>
      </w:r>
      <w:r w:rsidRPr="00A915B9">
        <w:rPr>
          <w:rFonts w:ascii="Times New Roman" w:hAnsi="Times New Roman" w:cs="Times New Roman"/>
          <w:sz w:val="24"/>
          <w:szCs w:val="24"/>
        </w:rPr>
        <w:t>Centralized decision-making by a body representative of the group practice that maintains effective control over the group's assets and liabilities</w:t>
      </w:r>
      <w:r>
        <w:rPr>
          <w:rFonts w:ascii="Times New Roman" w:hAnsi="Times New Roman" w:cs="Times New Roman"/>
          <w:sz w:val="24"/>
          <w:szCs w:val="24"/>
        </w:rPr>
        <w:t xml:space="preserve"> </w:t>
      </w:r>
      <w:r w:rsidRPr="00A915B9">
        <w:rPr>
          <w:rFonts w:ascii="Times New Roman" w:hAnsi="Times New Roman" w:cs="Times New Roman"/>
          <w:sz w:val="24"/>
          <w:szCs w:val="24"/>
        </w:rPr>
        <w:t>(including, but not limited to, budgets, compensation, and salaries); and</w:t>
      </w:r>
    </w:p>
    <w:p w:rsidR="00A915B9" w:rsidRPr="00A915B9" w:rsidRDefault="00A915B9" w:rsidP="00A915B9">
      <w:pPr>
        <w:spacing w:after="0" w:line="240" w:lineRule="auto"/>
        <w:ind w:firstLine="720"/>
        <w:rPr>
          <w:rFonts w:ascii="Times New Roman" w:hAnsi="Times New Roman" w:cs="Times New Roman"/>
          <w:sz w:val="24"/>
          <w:szCs w:val="24"/>
        </w:rPr>
      </w:pPr>
    </w:p>
    <w:p w:rsidR="00A915B9" w:rsidRDefault="00A915B9" w:rsidP="00A915B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Pr="00A915B9">
        <w:rPr>
          <w:rFonts w:ascii="Times New Roman" w:hAnsi="Times New Roman" w:cs="Times New Roman"/>
          <w:sz w:val="24"/>
          <w:szCs w:val="24"/>
        </w:rPr>
        <w:t xml:space="preserve"> </w:t>
      </w:r>
      <w:r w:rsidR="00175558">
        <w:rPr>
          <w:rFonts w:ascii="Times New Roman" w:hAnsi="Times New Roman" w:cs="Times New Roman"/>
          <w:sz w:val="24"/>
          <w:szCs w:val="24"/>
        </w:rPr>
        <w:tab/>
      </w:r>
      <w:r w:rsidRPr="00A915B9">
        <w:rPr>
          <w:rFonts w:ascii="Times New Roman" w:hAnsi="Times New Roman" w:cs="Times New Roman"/>
          <w:sz w:val="24"/>
          <w:szCs w:val="24"/>
        </w:rPr>
        <w:t>Consolidated billing, accounting, and financial reporting.</w:t>
      </w:r>
    </w:p>
    <w:p w:rsidR="00A40B0B" w:rsidRDefault="00A40B0B" w:rsidP="00A40B0B">
      <w:pPr>
        <w:spacing w:after="0" w:line="240" w:lineRule="auto"/>
        <w:rPr>
          <w:rFonts w:ascii="Times New Roman" w:hAnsi="Times New Roman" w:cs="Times New Roman"/>
          <w:sz w:val="24"/>
          <w:szCs w:val="24"/>
        </w:rPr>
      </w:pPr>
    </w:p>
    <w:p w:rsidR="00A40B0B" w:rsidRDefault="00A915B9" w:rsidP="00A40B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w:t>
      </w:r>
      <w:r>
        <w:rPr>
          <w:rFonts w:ascii="Times New Roman" w:hAnsi="Times New Roman" w:cs="Times New Roman"/>
          <w:sz w:val="24"/>
          <w:szCs w:val="24"/>
        </w:rPr>
        <w:tab/>
        <w:t xml:space="preserve">Can’t Vary with Volume or Value of Referrals - </w:t>
      </w:r>
      <w:r w:rsidRPr="00A915B9">
        <w:rPr>
          <w:rFonts w:ascii="Times New Roman" w:hAnsi="Times New Roman" w:cs="Times New Roman"/>
          <w:sz w:val="24"/>
          <w:szCs w:val="24"/>
        </w:rPr>
        <w:t>No physician who is a member of the group practice directly or indirectly receives compensation based on the volume or value of his or her referrals, except as provided in § 411.352(i).</w:t>
      </w:r>
    </w:p>
    <w:p w:rsidR="00A915B9" w:rsidRDefault="00A915B9" w:rsidP="00A40B0B">
      <w:pPr>
        <w:spacing w:after="0" w:line="240" w:lineRule="auto"/>
        <w:rPr>
          <w:rFonts w:ascii="Times New Roman" w:hAnsi="Times New Roman" w:cs="Times New Roman"/>
          <w:sz w:val="24"/>
          <w:szCs w:val="24"/>
        </w:rPr>
      </w:pPr>
    </w:p>
    <w:p w:rsidR="00A915B9" w:rsidRDefault="00A915B9" w:rsidP="00A40B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w:t>
      </w:r>
      <w:r>
        <w:rPr>
          <w:rFonts w:ascii="Times New Roman" w:hAnsi="Times New Roman" w:cs="Times New Roman"/>
          <w:sz w:val="24"/>
          <w:szCs w:val="24"/>
        </w:rPr>
        <w:tab/>
        <w:t xml:space="preserve">Physician-Patient Encounters - </w:t>
      </w:r>
      <w:r w:rsidRPr="00A915B9">
        <w:rPr>
          <w:rFonts w:ascii="Times New Roman" w:hAnsi="Times New Roman" w:cs="Times New Roman"/>
          <w:sz w:val="24"/>
          <w:szCs w:val="24"/>
        </w:rPr>
        <w:t>Members of the group must personally conduct no less than 75 percent of the physician-patient encounters of the group practice.</w:t>
      </w:r>
      <w:r>
        <w:rPr>
          <w:rFonts w:ascii="Times New Roman" w:hAnsi="Times New Roman" w:cs="Times New Roman"/>
          <w:sz w:val="24"/>
          <w:szCs w:val="24"/>
        </w:rPr>
        <w:t xml:space="preserve"> 42 C.F.R. §411.352.</w:t>
      </w:r>
    </w:p>
    <w:p w:rsidR="00A915B9" w:rsidRDefault="00A915B9" w:rsidP="00A40B0B">
      <w:pPr>
        <w:spacing w:after="0" w:line="240" w:lineRule="auto"/>
        <w:rPr>
          <w:rFonts w:ascii="Times New Roman" w:hAnsi="Times New Roman" w:cs="Times New Roman"/>
          <w:sz w:val="24"/>
          <w:szCs w:val="24"/>
        </w:rPr>
      </w:pPr>
    </w:p>
    <w:p w:rsidR="00A915B9" w:rsidRPr="00A915B9" w:rsidRDefault="00A915B9" w:rsidP="00A915B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Pr>
          <w:rFonts w:ascii="Times New Roman" w:hAnsi="Times New Roman" w:cs="Times New Roman"/>
          <w:sz w:val="24"/>
          <w:szCs w:val="24"/>
        </w:rPr>
        <w:tab/>
        <w:t xml:space="preserve">Special Compensation Rules - </w:t>
      </w:r>
      <w:r w:rsidRPr="00A915B9">
        <w:rPr>
          <w:rFonts w:ascii="Times New Roman" w:hAnsi="Times New Roman" w:cs="Times New Roman"/>
          <w:sz w:val="24"/>
          <w:szCs w:val="24"/>
        </w:rPr>
        <w:t>A “physician in a group practice” (which includes employees, owners, and some independent contractors) may be paid</w:t>
      </w:r>
    </w:p>
    <w:p w:rsidR="00A915B9" w:rsidRDefault="00A915B9" w:rsidP="00A915B9">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A915B9">
        <w:rPr>
          <w:rFonts w:ascii="Times New Roman" w:hAnsi="Times New Roman" w:cs="Times New Roman"/>
          <w:sz w:val="24"/>
          <w:szCs w:val="24"/>
        </w:rPr>
        <w:t xml:space="preserve"> share of overall profits of the group</w:t>
      </w:r>
      <w:r>
        <w:rPr>
          <w:rFonts w:ascii="Times New Roman" w:hAnsi="Times New Roman" w:cs="Times New Roman"/>
          <w:sz w:val="24"/>
          <w:szCs w:val="24"/>
        </w:rPr>
        <w:t xml:space="preserve"> or a </w:t>
      </w:r>
      <w:r w:rsidRPr="00A915B9">
        <w:rPr>
          <w:rFonts w:ascii="Times New Roman" w:hAnsi="Times New Roman" w:cs="Times New Roman"/>
          <w:sz w:val="24"/>
          <w:szCs w:val="24"/>
        </w:rPr>
        <w:t>productivity bonus based on services that he or she has personally performed (including services “incident to”)</w:t>
      </w:r>
      <w:r>
        <w:rPr>
          <w:rFonts w:ascii="Times New Roman" w:hAnsi="Times New Roman" w:cs="Times New Roman"/>
          <w:sz w:val="24"/>
          <w:szCs w:val="24"/>
        </w:rPr>
        <w:t>.</w:t>
      </w:r>
    </w:p>
    <w:p w:rsidR="00A915B9" w:rsidRDefault="00A915B9" w:rsidP="00A915B9">
      <w:pPr>
        <w:spacing w:after="0" w:line="240" w:lineRule="auto"/>
        <w:rPr>
          <w:rFonts w:ascii="Times New Roman" w:hAnsi="Times New Roman" w:cs="Times New Roman"/>
          <w:sz w:val="24"/>
          <w:szCs w:val="24"/>
        </w:rPr>
      </w:pPr>
    </w:p>
    <w:p w:rsidR="006200B6" w:rsidRDefault="00A915B9" w:rsidP="006200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006200B6" w:rsidRPr="006200B6">
        <w:rPr>
          <w:rFonts w:ascii="Times New Roman" w:hAnsi="Times New Roman" w:cs="Times New Roman"/>
          <w:sz w:val="24"/>
          <w:szCs w:val="24"/>
        </w:rPr>
        <w:t>Division of overall profits must be done in a “reasonable and verifiable” manner that does not directly relate to volume or value of referrals of DHS.</w:t>
      </w:r>
    </w:p>
    <w:p w:rsidR="006200B6" w:rsidRDefault="006200B6" w:rsidP="006200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200B6" w:rsidRDefault="006200B6" w:rsidP="006200B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6200B6">
        <w:rPr>
          <w:rFonts w:ascii="Times New Roman" w:hAnsi="Times New Roman" w:cs="Times New Roman"/>
          <w:sz w:val="24"/>
          <w:szCs w:val="24"/>
        </w:rPr>
        <w:t>Share of the profits will be deemed not to relate directly to volume/value in the following situations:</w:t>
      </w:r>
    </w:p>
    <w:p w:rsidR="006200B6" w:rsidRDefault="006200B6" w:rsidP="006200B6">
      <w:pPr>
        <w:spacing w:after="0" w:line="240" w:lineRule="auto"/>
        <w:rPr>
          <w:rFonts w:ascii="Times New Roman" w:hAnsi="Times New Roman" w:cs="Times New Roman"/>
          <w:sz w:val="24"/>
          <w:szCs w:val="24"/>
        </w:rPr>
      </w:pPr>
    </w:p>
    <w:p w:rsidR="006200B6" w:rsidRDefault="006200B6" w:rsidP="006200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6200B6">
        <w:rPr>
          <w:rFonts w:ascii="Times New Roman" w:hAnsi="Times New Roman" w:cs="Times New Roman"/>
          <w:sz w:val="24"/>
          <w:szCs w:val="24"/>
        </w:rPr>
        <w:t>Per capita division;</w:t>
      </w:r>
    </w:p>
    <w:p w:rsidR="006200B6" w:rsidRDefault="006200B6" w:rsidP="006200B6">
      <w:pPr>
        <w:spacing w:after="0" w:line="240" w:lineRule="auto"/>
        <w:rPr>
          <w:rFonts w:ascii="Times New Roman" w:hAnsi="Times New Roman" w:cs="Times New Roman"/>
          <w:sz w:val="24"/>
          <w:szCs w:val="24"/>
        </w:rPr>
      </w:pPr>
    </w:p>
    <w:p w:rsidR="006200B6" w:rsidRDefault="006200B6" w:rsidP="006200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6200B6">
        <w:rPr>
          <w:rFonts w:ascii="Times New Roman" w:hAnsi="Times New Roman" w:cs="Times New Roman"/>
          <w:sz w:val="24"/>
          <w:szCs w:val="24"/>
        </w:rPr>
        <w:t>DHS revenues are distributed based on distribution of group’s non-DHS revenues; or</w:t>
      </w:r>
    </w:p>
    <w:p w:rsidR="006200B6" w:rsidRDefault="006200B6" w:rsidP="006200B6">
      <w:pPr>
        <w:spacing w:after="0" w:line="240" w:lineRule="auto"/>
        <w:rPr>
          <w:rFonts w:ascii="Times New Roman" w:hAnsi="Times New Roman" w:cs="Times New Roman"/>
          <w:sz w:val="24"/>
          <w:szCs w:val="24"/>
        </w:rPr>
      </w:pPr>
    </w:p>
    <w:p w:rsidR="006200B6" w:rsidRDefault="006200B6" w:rsidP="006200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6200B6">
        <w:rPr>
          <w:rFonts w:ascii="Times New Roman" w:hAnsi="Times New Roman" w:cs="Times New Roman"/>
          <w:sz w:val="24"/>
          <w:szCs w:val="24"/>
        </w:rPr>
        <w:t>Revenues from DHS are less than 5% of group’s total revenues and allocated portion of the DHS revenues constitute 5% or less of individual physician’s total compensation.</w:t>
      </w:r>
    </w:p>
    <w:p w:rsidR="006200B6" w:rsidRDefault="006200B6" w:rsidP="006200B6">
      <w:pPr>
        <w:spacing w:after="0" w:line="240" w:lineRule="auto"/>
        <w:rPr>
          <w:rFonts w:ascii="Times New Roman" w:hAnsi="Times New Roman" w:cs="Times New Roman"/>
          <w:sz w:val="24"/>
          <w:szCs w:val="24"/>
        </w:rPr>
      </w:pPr>
    </w:p>
    <w:p w:rsidR="00A915B9" w:rsidRDefault="006200B6" w:rsidP="006200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Pr="006200B6">
        <w:rPr>
          <w:rFonts w:ascii="Times New Roman" w:hAnsi="Times New Roman" w:cs="Times New Roman"/>
          <w:sz w:val="24"/>
          <w:szCs w:val="24"/>
        </w:rPr>
        <w:t>Overall profits means group’s entire profits derived from DHS, or profits derived by any component of the practice consisting of at least 5 physicians (“Rule of 5’s”).</w:t>
      </w:r>
    </w:p>
    <w:p w:rsidR="006200B6" w:rsidRDefault="006200B6" w:rsidP="006200B6">
      <w:pPr>
        <w:spacing w:after="0" w:line="240" w:lineRule="auto"/>
        <w:rPr>
          <w:rFonts w:ascii="Times New Roman" w:hAnsi="Times New Roman" w:cs="Times New Roman"/>
          <w:sz w:val="24"/>
          <w:szCs w:val="24"/>
        </w:rPr>
      </w:pPr>
    </w:p>
    <w:p w:rsidR="006200B6" w:rsidRDefault="006200B6" w:rsidP="006200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sidRPr="006200B6">
        <w:rPr>
          <w:rFonts w:ascii="Times New Roman" w:hAnsi="Times New Roman" w:cs="Times New Roman"/>
          <w:sz w:val="24"/>
          <w:szCs w:val="24"/>
        </w:rPr>
        <w:t>Productivity bonus should be calculated in a “reasonable and verifiable” manner not directly related to volume/value of physician’s referrals of DHS.</w:t>
      </w:r>
    </w:p>
    <w:p w:rsidR="006200B6" w:rsidRDefault="006200B6" w:rsidP="006200B6">
      <w:pPr>
        <w:spacing w:after="0" w:line="240" w:lineRule="auto"/>
        <w:rPr>
          <w:rFonts w:ascii="Times New Roman" w:hAnsi="Times New Roman" w:cs="Times New Roman"/>
          <w:sz w:val="24"/>
          <w:szCs w:val="24"/>
        </w:rPr>
      </w:pPr>
    </w:p>
    <w:p w:rsidR="006200B6" w:rsidRDefault="006200B6" w:rsidP="006200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r>
      <w:r w:rsidRPr="006200B6">
        <w:rPr>
          <w:rFonts w:ascii="Times New Roman" w:hAnsi="Times New Roman" w:cs="Times New Roman"/>
          <w:sz w:val="24"/>
          <w:szCs w:val="24"/>
        </w:rPr>
        <w:t xml:space="preserve">A </w:t>
      </w:r>
      <w:r>
        <w:rPr>
          <w:rFonts w:ascii="Times New Roman" w:hAnsi="Times New Roman" w:cs="Times New Roman"/>
          <w:sz w:val="24"/>
          <w:szCs w:val="24"/>
        </w:rPr>
        <w:t xml:space="preserve">productivity </w:t>
      </w:r>
      <w:r w:rsidRPr="006200B6">
        <w:rPr>
          <w:rFonts w:ascii="Times New Roman" w:hAnsi="Times New Roman" w:cs="Times New Roman"/>
          <w:sz w:val="24"/>
          <w:szCs w:val="24"/>
        </w:rPr>
        <w:t>bonus will be deemed not directly related to volume/value if:</w:t>
      </w:r>
    </w:p>
    <w:p w:rsidR="006200B6" w:rsidRPr="006200B6" w:rsidRDefault="006200B6" w:rsidP="006200B6">
      <w:pPr>
        <w:spacing w:after="0" w:line="240" w:lineRule="auto"/>
        <w:rPr>
          <w:rFonts w:ascii="Times New Roman" w:hAnsi="Times New Roman" w:cs="Times New Roman"/>
          <w:sz w:val="24"/>
          <w:szCs w:val="24"/>
        </w:rPr>
      </w:pPr>
    </w:p>
    <w:p w:rsidR="006200B6" w:rsidRDefault="006200B6" w:rsidP="006200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6200B6">
        <w:rPr>
          <w:rFonts w:ascii="Times New Roman" w:hAnsi="Times New Roman" w:cs="Times New Roman"/>
          <w:sz w:val="24"/>
          <w:szCs w:val="24"/>
        </w:rPr>
        <w:t>Based on physician’s total patient encounters or wRVU’s (including “incident to”);</w:t>
      </w:r>
    </w:p>
    <w:p w:rsidR="006200B6" w:rsidRPr="006200B6" w:rsidRDefault="006200B6" w:rsidP="006200B6">
      <w:pPr>
        <w:spacing w:after="0" w:line="240" w:lineRule="auto"/>
        <w:rPr>
          <w:rFonts w:ascii="Times New Roman" w:hAnsi="Times New Roman" w:cs="Times New Roman"/>
          <w:sz w:val="24"/>
          <w:szCs w:val="24"/>
        </w:rPr>
      </w:pPr>
    </w:p>
    <w:p w:rsidR="006200B6" w:rsidRDefault="006200B6" w:rsidP="006200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6200B6">
        <w:rPr>
          <w:rFonts w:ascii="Times New Roman" w:hAnsi="Times New Roman" w:cs="Times New Roman"/>
          <w:sz w:val="24"/>
          <w:szCs w:val="24"/>
        </w:rPr>
        <w:t>Based on allocation of physician’s compensation attributable to services that are not DHS; or</w:t>
      </w:r>
    </w:p>
    <w:p w:rsidR="006200B6" w:rsidRDefault="006200B6" w:rsidP="006200B6">
      <w:pPr>
        <w:spacing w:after="0" w:line="240" w:lineRule="auto"/>
        <w:rPr>
          <w:rFonts w:ascii="Times New Roman" w:hAnsi="Times New Roman" w:cs="Times New Roman"/>
          <w:sz w:val="24"/>
          <w:szCs w:val="24"/>
        </w:rPr>
      </w:pPr>
    </w:p>
    <w:p w:rsidR="006200B6" w:rsidRDefault="006200B6" w:rsidP="006200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6200B6">
        <w:rPr>
          <w:rFonts w:ascii="Times New Roman" w:hAnsi="Times New Roman" w:cs="Times New Roman"/>
          <w:sz w:val="24"/>
          <w:szCs w:val="24"/>
        </w:rPr>
        <w:t>Revenues derived from DHS are less than 5% of group’s total revenues and the allocated portion of the revenues to each physician represent 5% or less of that physician’s total compensation from the group.</w:t>
      </w:r>
    </w:p>
    <w:p w:rsidR="00CD54CA" w:rsidRDefault="00CD54CA" w:rsidP="006200B6">
      <w:pPr>
        <w:spacing w:after="0" w:line="240" w:lineRule="auto"/>
        <w:rPr>
          <w:rFonts w:ascii="Times New Roman" w:hAnsi="Times New Roman" w:cs="Times New Roman"/>
          <w:sz w:val="24"/>
          <w:szCs w:val="24"/>
        </w:rPr>
      </w:pPr>
    </w:p>
    <w:p w:rsidR="00330E8C" w:rsidRDefault="00330E8C" w:rsidP="006200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t>Practice loss theory</w:t>
      </w:r>
    </w:p>
    <w:p w:rsidR="00330E8C" w:rsidRDefault="00330E8C" w:rsidP="006200B6">
      <w:pPr>
        <w:spacing w:after="0" w:line="240" w:lineRule="auto"/>
        <w:rPr>
          <w:rFonts w:ascii="Times New Roman" w:hAnsi="Times New Roman" w:cs="Times New Roman"/>
          <w:sz w:val="24"/>
          <w:szCs w:val="24"/>
        </w:rPr>
      </w:pPr>
    </w:p>
    <w:p w:rsidR="00C473CF" w:rsidRPr="00C473CF" w:rsidRDefault="00C473CF" w:rsidP="00C473C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sidRPr="00C473CF">
        <w:rPr>
          <w:rFonts w:ascii="Times New Roman" w:hAnsi="Times New Roman" w:cs="Times New Roman"/>
          <w:sz w:val="24"/>
          <w:szCs w:val="24"/>
        </w:rPr>
        <w:t>“A support payment is a payment to a medical practice, not to a doctor; therefore, it is not a direct compensation arrangement because there is an intervening entity between the doctor and the hospital.”  Pamela J. Nix, Hospital Support Payments and Stand in the Shoes</w:t>
      </w:r>
      <w:r>
        <w:rPr>
          <w:rFonts w:ascii="Times New Roman" w:hAnsi="Times New Roman" w:cs="Times New Roman"/>
          <w:sz w:val="24"/>
          <w:szCs w:val="24"/>
        </w:rPr>
        <w:t>,</w:t>
      </w:r>
      <w:r w:rsidRPr="00C473CF">
        <w:rPr>
          <w:rFonts w:ascii="Times New Roman" w:hAnsi="Times New Roman" w:cs="Times New Roman"/>
          <w:sz w:val="24"/>
          <w:szCs w:val="24"/>
        </w:rPr>
        <w:t xml:space="preserve"> A Look at the Legality of Support Payments and Possible Revisions to SITS Provisions, 10 J. Health Care Compliance 59, 60 (2008).  An indirect compensation arrangement would exist under Stark only if the compensation paid to the physician from the entity in the chain with which the physician has a direct financial relationship varies with the volume or value of referrals or other business generated by the referring physician for the entity furnishing the DHS.  42 C.F.R. § 411.354(c)(2)(ii). </w:t>
      </w:r>
    </w:p>
    <w:p w:rsidR="00C473CF" w:rsidRPr="00C473CF" w:rsidRDefault="00C473CF" w:rsidP="00C473CF">
      <w:pPr>
        <w:spacing w:after="0" w:line="240" w:lineRule="auto"/>
        <w:rPr>
          <w:rFonts w:ascii="Times New Roman" w:hAnsi="Times New Roman" w:cs="Times New Roman"/>
          <w:sz w:val="24"/>
          <w:szCs w:val="24"/>
        </w:rPr>
      </w:pPr>
    </w:p>
    <w:p w:rsidR="00C473CF" w:rsidRDefault="00C473CF" w:rsidP="00C473CF">
      <w:pPr>
        <w:spacing w:after="0" w:line="240" w:lineRule="auto"/>
        <w:rPr>
          <w:rFonts w:ascii="Times New Roman" w:hAnsi="Times New Roman" w:cs="Times New Roman"/>
          <w:sz w:val="24"/>
          <w:szCs w:val="24"/>
        </w:rPr>
      </w:pPr>
      <w:r w:rsidRPr="00C473CF">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sidRPr="00C473CF">
        <w:rPr>
          <w:rFonts w:ascii="Times New Roman" w:hAnsi="Times New Roman" w:cs="Times New Roman"/>
          <w:sz w:val="24"/>
          <w:szCs w:val="24"/>
        </w:rPr>
        <w:t xml:space="preserve">“In most cases, the payments from the hospital-owned [physician group] practice to the doctor do not take into account the volume or value of referrals from the physician to the hospital.”  Nix, supra, at 60. “As such, the support payment does not meet the definition of an indirect compensation arrangement.”  </w:t>
      </w:r>
      <w:r w:rsidRPr="00C473CF">
        <w:rPr>
          <w:rFonts w:ascii="Times New Roman" w:hAnsi="Times New Roman" w:cs="Times New Roman"/>
          <w:i/>
          <w:sz w:val="24"/>
          <w:szCs w:val="24"/>
        </w:rPr>
        <w:t>Id.</w:t>
      </w:r>
      <w:r w:rsidRPr="00C473CF">
        <w:rPr>
          <w:rFonts w:ascii="Times New Roman" w:hAnsi="Times New Roman" w:cs="Times New Roman"/>
          <w:sz w:val="24"/>
          <w:szCs w:val="24"/>
        </w:rPr>
        <w:t xml:space="preserve">  “Consequently, [the mission support payment] is not a transaction governed by the Stark law.” </w:t>
      </w:r>
      <w:r w:rsidRPr="00C473CF">
        <w:rPr>
          <w:rFonts w:ascii="Times New Roman" w:hAnsi="Times New Roman" w:cs="Times New Roman"/>
          <w:i/>
          <w:sz w:val="24"/>
          <w:szCs w:val="24"/>
        </w:rPr>
        <w:t>Id.</w:t>
      </w:r>
      <w:r w:rsidRPr="00C473CF">
        <w:rPr>
          <w:rFonts w:ascii="Times New Roman" w:hAnsi="Times New Roman" w:cs="Times New Roman"/>
          <w:sz w:val="24"/>
          <w:szCs w:val="24"/>
        </w:rPr>
        <w:t xml:space="preserve">  “Under this analysis, many hospitals have made support payments when needed as they are not prohibited by the Stark law.” </w:t>
      </w:r>
      <w:r w:rsidRPr="00C473CF">
        <w:rPr>
          <w:rFonts w:ascii="Times New Roman" w:hAnsi="Times New Roman" w:cs="Times New Roman"/>
          <w:i/>
          <w:sz w:val="24"/>
          <w:szCs w:val="24"/>
        </w:rPr>
        <w:t>Id.</w:t>
      </w:r>
      <w:r w:rsidRPr="00C473CF">
        <w:rPr>
          <w:rFonts w:ascii="Times New Roman" w:hAnsi="Times New Roman" w:cs="Times New Roman"/>
          <w:sz w:val="24"/>
          <w:szCs w:val="24"/>
        </w:rPr>
        <w:t xml:space="preserve">  </w:t>
      </w:r>
      <w:r w:rsidR="00330E8C">
        <w:rPr>
          <w:rFonts w:ascii="Times New Roman" w:hAnsi="Times New Roman" w:cs="Times New Roman"/>
          <w:sz w:val="24"/>
          <w:szCs w:val="24"/>
        </w:rPr>
        <w:tab/>
      </w:r>
      <w:r w:rsidR="00330E8C">
        <w:rPr>
          <w:rFonts w:ascii="Times New Roman" w:hAnsi="Times New Roman" w:cs="Times New Roman"/>
          <w:sz w:val="24"/>
          <w:szCs w:val="24"/>
        </w:rPr>
        <w:tab/>
      </w:r>
      <w:r w:rsidR="00330E8C">
        <w:rPr>
          <w:rFonts w:ascii="Times New Roman" w:hAnsi="Times New Roman" w:cs="Times New Roman"/>
          <w:sz w:val="24"/>
          <w:szCs w:val="24"/>
        </w:rPr>
        <w:tab/>
      </w:r>
      <w:r w:rsidR="00330E8C">
        <w:rPr>
          <w:rFonts w:ascii="Times New Roman" w:hAnsi="Times New Roman" w:cs="Times New Roman"/>
          <w:sz w:val="24"/>
          <w:szCs w:val="24"/>
        </w:rPr>
        <w:tab/>
      </w:r>
    </w:p>
    <w:p w:rsidR="00C473CF" w:rsidRDefault="00C473CF" w:rsidP="006200B6">
      <w:pPr>
        <w:spacing w:after="0" w:line="240" w:lineRule="auto"/>
        <w:rPr>
          <w:rFonts w:ascii="Times New Roman" w:hAnsi="Times New Roman" w:cs="Times New Roman"/>
          <w:sz w:val="24"/>
          <w:szCs w:val="24"/>
        </w:rPr>
      </w:pPr>
    </w:p>
    <w:p w:rsidR="00330E8C" w:rsidRDefault="00C473CF" w:rsidP="006200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sidR="00330E8C">
        <w:rPr>
          <w:rFonts w:ascii="Times New Roman" w:hAnsi="Times New Roman" w:cs="Times New Roman"/>
          <w:sz w:val="24"/>
          <w:szCs w:val="24"/>
        </w:rPr>
        <w:t xml:space="preserve">Hospitals (particularly non-profits) may subsidize physician practice losses with mission support payments </w:t>
      </w:r>
      <w:r w:rsidR="00484CA9">
        <w:rPr>
          <w:rFonts w:ascii="Times New Roman" w:hAnsi="Times New Roman" w:cs="Times New Roman"/>
          <w:sz w:val="24"/>
          <w:szCs w:val="24"/>
        </w:rPr>
        <w:t xml:space="preserve">to physician group practices </w:t>
      </w:r>
      <w:r w:rsidR="00330E8C">
        <w:rPr>
          <w:rFonts w:ascii="Times New Roman" w:hAnsi="Times New Roman" w:cs="Times New Roman"/>
          <w:sz w:val="24"/>
          <w:szCs w:val="24"/>
        </w:rPr>
        <w:t>without automatically violating kickback or Stark.</w:t>
      </w:r>
      <w:r w:rsidR="00B62DBB">
        <w:rPr>
          <w:rFonts w:ascii="Times New Roman" w:hAnsi="Times New Roman" w:cs="Times New Roman"/>
          <w:sz w:val="24"/>
          <w:szCs w:val="24"/>
        </w:rPr>
        <w:t xml:space="preserve">  </w:t>
      </w:r>
      <w:r w:rsidR="00B62DBB" w:rsidRPr="00B62DBB">
        <w:rPr>
          <w:rFonts w:ascii="Times New Roman" w:hAnsi="Times New Roman" w:cs="Times New Roman"/>
          <w:sz w:val="24"/>
          <w:szCs w:val="24"/>
        </w:rPr>
        <w:t>72 Fed. Reg. 64161 (Nov. 15, 2007); 73 Fed. Reg. 23685 (Apr. 30, 2008); 7</w:t>
      </w:r>
      <w:r>
        <w:rPr>
          <w:rFonts w:ascii="Times New Roman" w:hAnsi="Times New Roman" w:cs="Times New Roman"/>
          <w:sz w:val="24"/>
          <w:szCs w:val="24"/>
        </w:rPr>
        <w:t>3</w:t>
      </w:r>
      <w:r w:rsidR="00B62DBB" w:rsidRPr="00B62DBB">
        <w:rPr>
          <w:rFonts w:ascii="Times New Roman" w:hAnsi="Times New Roman" w:cs="Times New Roman"/>
          <w:sz w:val="24"/>
          <w:szCs w:val="24"/>
        </w:rPr>
        <w:t xml:space="preserve"> Fed. Reg. 4869</w:t>
      </w:r>
      <w:r>
        <w:rPr>
          <w:rFonts w:ascii="Times New Roman" w:hAnsi="Times New Roman" w:cs="Times New Roman"/>
          <w:sz w:val="24"/>
          <w:szCs w:val="24"/>
        </w:rPr>
        <w:t>0-93</w:t>
      </w:r>
      <w:r w:rsidR="00B62DBB" w:rsidRPr="00B62DBB">
        <w:rPr>
          <w:rFonts w:ascii="Times New Roman" w:hAnsi="Times New Roman" w:cs="Times New Roman"/>
          <w:sz w:val="24"/>
          <w:szCs w:val="24"/>
        </w:rPr>
        <w:t xml:space="preserve"> (Aug. 19, 2008).  </w:t>
      </w:r>
    </w:p>
    <w:p w:rsidR="00330E8C" w:rsidRDefault="00330E8C" w:rsidP="006200B6">
      <w:pPr>
        <w:spacing w:after="0" w:line="240" w:lineRule="auto"/>
        <w:rPr>
          <w:rFonts w:ascii="Times New Roman" w:hAnsi="Times New Roman" w:cs="Times New Roman"/>
          <w:sz w:val="24"/>
          <w:szCs w:val="24"/>
        </w:rPr>
      </w:pPr>
    </w:p>
    <w:p w:rsidR="00330E8C" w:rsidRDefault="00C473CF" w:rsidP="006200B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sidR="00330E8C">
        <w:rPr>
          <w:rFonts w:ascii="Times New Roman" w:hAnsi="Times New Roman" w:cs="Times New Roman"/>
          <w:sz w:val="24"/>
          <w:szCs w:val="24"/>
        </w:rPr>
        <w:t>)</w:t>
      </w:r>
      <w:r w:rsidR="00330E8C">
        <w:rPr>
          <w:rFonts w:ascii="Times New Roman" w:hAnsi="Times New Roman" w:cs="Times New Roman"/>
          <w:sz w:val="24"/>
          <w:szCs w:val="24"/>
        </w:rPr>
        <w:tab/>
        <w:t xml:space="preserve">Individual physician compensation </w:t>
      </w:r>
      <w:r w:rsidR="00484CA9">
        <w:rPr>
          <w:rFonts w:ascii="Times New Roman" w:hAnsi="Times New Roman" w:cs="Times New Roman"/>
          <w:sz w:val="24"/>
          <w:szCs w:val="24"/>
        </w:rPr>
        <w:t xml:space="preserve">within the physician group practice </w:t>
      </w:r>
      <w:r w:rsidR="00330E8C">
        <w:rPr>
          <w:rFonts w:ascii="Times New Roman" w:hAnsi="Times New Roman" w:cs="Times New Roman"/>
          <w:sz w:val="24"/>
          <w:szCs w:val="24"/>
        </w:rPr>
        <w:t>must still be within FMV, commercially reasonable in the absence of referrals, and cannot vary with volume or value of referrals except as permitted under the Stark group practice rules.</w:t>
      </w:r>
    </w:p>
    <w:p w:rsidR="00330E8C" w:rsidRDefault="00330E8C" w:rsidP="006200B6">
      <w:pPr>
        <w:spacing w:after="0" w:line="240" w:lineRule="auto"/>
        <w:rPr>
          <w:rFonts w:ascii="Times New Roman" w:hAnsi="Times New Roman" w:cs="Times New Roman"/>
          <w:sz w:val="24"/>
          <w:szCs w:val="24"/>
        </w:rPr>
      </w:pPr>
    </w:p>
    <w:p w:rsidR="00CD54CA" w:rsidRDefault="00CD54CA" w:rsidP="00CD54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sidR="00330E8C">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ab/>
      </w:r>
      <w:r w:rsidRPr="00CD54CA">
        <w:rPr>
          <w:rFonts w:ascii="Times New Roman" w:hAnsi="Times New Roman" w:cs="Times New Roman"/>
          <w:sz w:val="24"/>
          <w:szCs w:val="24"/>
          <w:highlight w:val="yellow"/>
        </w:rPr>
        <w:t xml:space="preserve">Compliance tips in a </w:t>
      </w:r>
      <w:r>
        <w:rPr>
          <w:rFonts w:ascii="Times New Roman" w:hAnsi="Times New Roman" w:cs="Times New Roman"/>
          <w:sz w:val="24"/>
          <w:szCs w:val="24"/>
          <w:highlight w:val="yellow"/>
        </w:rPr>
        <w:t>physician group practice mod</w:t>
      </w:r>
      <w:r w:rsidRPr="00CD54CA">
        <w:rPr>
          <w:rFonts w:ascii="Times New Roman" w:hAnsi="Times New Roman" w:cs="Times New Roman"/>
          <w:sz w:val="24"/>
          <w:szCs w:val="24"/>
          <w:highlight w:val="yellow"/>
        </w:rPr>
        <w:t>el</w:t>
      </w:r>
    </w:p>
    <w:p w:rsidR="00CD54CA" w:rsidRDefault="00CD54CA" w:rsidP="00CD54CA">
      <w:pPr>
        <w:spacing w:after="0" w:line="240" w:lineRule="auto"/>
        <w:rPr>
          <w:rFonts w:ascii="Times New Roman" w:hAnsi="Times New Roman" w:cs="Times New Roman"/>
          <w:sz w:val="24"/>
          <w:szCs w:val="24"/>
        </w:rPr>
      </w:pPr>
    </w:p>
    <w:p w:rsidR="00CD54CA" w:rsidRDefault="00CD54CA" w:rsidP="00CD54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Maintain compliance with the eight requirements of a Stark compliant group practice (single legal entity, etc.).</w:t>
      </w:r>
    </w:p>
    <w:p w:rsidR="00F10F8A" w:rsidRDefault="00F10F8A" w:rsidP="00CD54CA">
      <w:pPr>
        <w:spacing w:after="0" w:line="240" w:lineRule="auto"/>
        <w:rPr>
          <w:rFonts w:ascii="Times New Roman" w:hAnsi="Times New Roman" w:cs="Times New Roman"/>
          <w:sz w:val="24"/>
          <w:szCs w:val="24"/>
        </w:rPr>
      </w:pPr>
    </w:p>
    <w:p w:rsidR="00F10F8A" w:rsidRDefault="00F10F8A" w:rsidP="00CD54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Monitor compliance with the Rule of 5’s, particularly with physician specialists.</w:t>
      </w:r>
    </w:p>
    <w:p w:rsidR="00CD54CA" w:rsidRDefault="00CD54CA" w:rsidP="00CD54CA">
      <w:pPr>
        <w:spacing w:after="0" w:line="240" w:lineRule="auto"/>
        <w:rPr>
          <w:rFonts w:ascii="Times New Roman" w:hAnsi="Times New Roman" w:cs="Times New Roman"/>
          <w:sz w:val="24"/>
          <w:szCs w:val="24"/>
        </w:rPr>
      </w:pPr>
    </w:p>
    <w:p w:rsidR="00CD54CA" w:rsidRDefault="00CD54CA" w:rsidP="00CD54C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F10F8A">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t>IOAS exception is limited to “in-office,” cannot include hospital-based services in the compensation model.</w:t>
      </w:r>
    </w:p>
    <w:p w:rsidR="00CD54CA" w:rsidRDefault="00CD54CA" w:rsidP="00CD54CA">
      <w:pPr>
        <w:spacing w:after="0" w:line="240" w:lineRule="auto"/>
        <w:rPr>
          <w:rFonts w:ascii="Times New Roman" w:hAnsi="Times New Roman" w:cs="Times New Roman"/>
          <w:sz w:val="24"/>
          <w:szCs w:val="24"/>
        </w:rPr>
      </w:pPr>
    </w:p>
    <w:p w:rsidR="00CD54CA" w:rsidRDefault="00CD54CA" w:rsidP="00CD54CA">
      <w:pPr>
        <w:spacing w:after="0" w:line="240" w:lineRule="auto"/>
        <w:rPr>
          <w:rFonts w:ascii="Times New Roman" w:hAnsi="Times New Roman" w:cs="Times New Roman"/>
          <w:bCs/>
          <w:sz w:val="24"/>
          <w:szCs w:val="24"/>
          <w:lang w:val="it-I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F10F8A">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Cs/>
          <w:sz w:val="24"/>
          <w:szCs w:val="24"/>
          <w:lang w:val="it-IT"/>
        </w:rPr>
        <w:t>“Incident to” services do not include services and supplies furnished in the hospital, diagnostic tests, or the technical component of inpatient and outpatient hospital services, and cannot be included in the compensation model.  42 C.F.R. § 410.26(b)(1)</w:t>
      </w:r>
      <w:r w:rsidR="00F10F8A">
        <w:rPr>
          <w:rFonts w:ascii="Times New Roman" w:hAnsi="Times New Roman" w:cs="Times New Roman"/>
          <w:bCs/>
          <w:sz w:val="24"/>
          <w:szCs w:val="24"/>
          <w:lang w:val="it-IT"/>
        </w:rPr>
        <w:t>.</w:t>
      </w:r>
    </w:p>
    <w:p w:rsidR="00330E8C" w:rsidRDefault="00330E8C" w:rsidP="00CD54CA">
      <w:pPr>
        <w:spacing w:after="0" w:line="240" w:lineRule="auto"/>
        <w:rPr>
          <w:rFonts w:ascii="Times New Roman" w:hAnsi="Times New Roman" w:cs="Times New Roman"/>
          <w:bCs/>
          <w:sz w:val="24"/>
          <w:szCs w:val="24"/>
          <w:lang w:val="it-IT"/>
        </w:rPr>
      </w:pPr>
    </w:p>
    <w:p w:rsidR="00407437" w:rsidRDefault="00330E8C" w:rsidP="00407437">
      <w:pPr>
        <w:spacing w:after="0" w:line="240" w:lineRule="auto"/>
        <w:rPr>
          <w:rFonts w:ascii="Times New Roman" w:hAnsi="Times New Roman" w:cs="Times New Roman"/>
          <w:sz w:val="24"/>
          <w:szCs w:val="24"/>
        </w:rPr>
      </w:pPr>
      <w:r>
        <w:rPr>
          <w:rFonts w:ascii="Times New Roman" w:hAnsi="Times New Roman" w:cs="Times New Roman"/>
          <w:bCs/>
          <w:sz w:val="24"/>
          <w:szCs w:val="24"/>
          <w:lang w:val="it-IT"/>
        </w:rPr>
        <w:tab/>
      </w:r>
      <w:r>
        <w:rPr>
          <w:rFonts w:ascii="Times New Roman" w:hAnsi="Times New Roman" w:cs="Times New Roman"/>
          <w:bCs/>
          <w:sz w:val="24"/>
          <w:szCs w:val="24"/>
          <w:lang w:val="it-IT"/>
        </w:rPr>
        <w:tab/>
      </w:r>
      <w:r>
        <w:rPr>
          <w:rFonts w:ascii="Times New Roman" w:hAnsi="Times New Roman" w:cs="Times New Roman"/>
          <w:bCs/>
          <w:sz w:val="24"/>
          <w:szCs w:val="24"/>
          <w:lang w:val="it-IT"/>
        </w:rPr>
        <w:tab/>
      </w:r>
      <w:r>
        <w:rPr>
          <w:rFonts w:ascii="Times New Roman" w:hAnsi="Times New Roman" w:cs="Times New Roman"/>
          <w:bCs/>
          <w:sz w:val="24"/>
          <w:szCs w:val="24"/>
          <w:lang w:val="it-IT"/>
        </w:rPr>
        <w:tab/>
        <w:t>(5)</w:t>
      </w:r>
      <w:r>
        <w:rPr>
          <w:rFonts w:ascii="Times New Roman" w:hAnsi="Times New Roman" w:cs="Times New Roman"/>
          <w:bCs/>
          <w:sz w:val="24"/>
          <w:szCs w:val="24"/>
          <w:lang w:val="it-IT"/>
        </w:rPr>
        <w:tab/>
        <w:t>Examine physician practice loss subsidies to ensure that individual physician compensation still complies with a Stark exception (FMV, commercial reasonableness and not vary with volume or value of referrals except as permitted under Stark group practice rules</w:t>
      </w:r>
      <w:r w:rsidR="00484CA9">
        <w:rPr>
          <w:rFonts w:ascii="Times New Roman" w:hAnsi="Times New Roman" w:cs="Times New Roman"/>
          <w:bCs/>
          <w:sz w:val="24"/>
          <w:szCs w:val="24"/>
          <w:lang w:val="it-IT"/>
        </w:rPr>
        <w:t>)</w:t>
      </w:r>
      <w:r>
        <w:rPr>
          <w:rFonts w:ascii="Times New Roman" w:hAnsi="Times New Roman" w:cs="Times New Roman"/>
          <w:bCs/>
          <w:sz w:val="24"/>
          <w:szCs w:val="24"/>
          <w:lang w:val="it-IT"/>
        </w:rPr>
        <w:t>.</w:t>
      </w:r>
    </w:p>
    <w:p w:rsidR="00407437" w:rsidRDefault="00407437" w:rsidP="00407437">
      <w:pPr>
        <w:spacing w:after="0" w:line="240" w:lineRule="auto"/>
        <w:rPr>
          <w:rFonts w:ascii="Times New Roman" w:hAnsi="Times New Roman" w:cs="Times New Roman"/>
          <w:b/>
          <w:sz w:val="24"/>
          <w:szCs w:val="24"/>
        </w:rPr>
      </w:pPr>
    </w:p>
    <w:p w:rsidR="00407437" w:rsidRDefault="00407437" w:rsidP="00407437">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d.</w:t>
      </w:r>
      <w:r>
        <w:rPr>
          <w:rFonts w:ascii="Times New Roman" w:hAnsi="Times New Roman" w:cs="Times New Roman"/>
          <w:b/>
          <w:sz w:val="24"/>
          <w:szCs w:val="24"/>
        </w:rPr>
        <w:tab/>
        <w:t xml:space="preserve">Distinguishing fair market value (FMV) and commercial reasonableness (CR) </w:t>
      </w:r>
    </w:p>
    <w:p w:rsidR="00407437" w:rsidRDefault="00407437" w:rsidP="00407437">
      <w:pPr>
        <w:spacing w:after="0" w:line="240" w:lineRule="auto"/>
        <w:rPr>
          <w:rFonts w:ascii="Times New Roman" w:hAnsi="Times New Roman" w:cs="Times New Roman"/>
          <w:b/>
          <w:sz w:val="24"/>
          <w:szCs w:val="24"/>
        </w:rPr>
      </w:pPr>
    </w:p>
    <w:p w:rsidR="00407437" w:rsidRDefault="00407437" w:rsidP="00407437">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i.</w:t>
      </w:r>
      <w:r>
        <w:rPr>
          <w:rFonts w:ascii="Times New Roman" w:hAnsi="Times New Roman" w:cs="Times New Roman"/>
          <w:sz w:val="24"/>
          <w:szCs w:val="24"/>
        </w:rPr>
        <w:tab/>
        <w:t>FMV – “</w:t>
      </w:r>
      <w:r w:rsidRPr="00407437">
        <w:rPr>
          <w:rFonts w:ascii="Times New Roman" w:hAnsi="Times New Roman" w:cs="Times New Roman"/>
          <w:sz w:val="24"/>
          <w:szCs w:val="24"/>
        </w:rPr>
        <w:t>Fair market value means the value in arm's-length transactions, consistent with the general market value. “General</w:t>
      </w:r>
      <w:r>
        <w:rPr>
          <w:rFonts w:ascii="Times New Roman" w:hAnsi="Times New Roman" w:cs="Times New Roman"/>
          <w:sz w:val="24"/>
          <w:szCs w:val="24"/>
        </w:rPr>
        <w:t xml:space="preserve"> </w:t>
      </w:r>
      <w:r w:rsidRPr="00407437">
        <w:rPr>
          <w:rFonts w:ascii="Times New Roman" w:hAnsi="Times New Roman" w:cs="Times New Roman"/>
          <w:sz w:val="24"/>
          <w:szCs w:val="24"/>
        </w:rPr>
        <w:t>market value” means the price that an asset would bring as the result of bona fide bargaining between well-informed</w:t>
      </w:r>
      <w:r>
        <w:rPr>
          <w:rFonts w:ascii="Times New Roman" w:hAnsi="Times New Roman" w:cs="Times New Roman"/>
          <w:sz w:val="24"/>
          <w:szCs w:val="24"/>
        </w:rPr>
        <w:t xml:space="preserve"> </w:t>
      </w:r>
      <w:r w:rsidRPr="00407437">
        <w:rPr>
          <w:rFonts w:ascii="Times New Roman" w:hAnsi="Times New Roman" w:cs="Times New Roman"/>
          <w:sz w:val="24"/>
          <w:szCs w:val="24"/>
        </w:rPr>
        <w:t>buyers and sellers who are not otherwise in a position to generate business for the other party, or the</w:t>
      </w:r>
      <w:r>
        <w:rPr>
          <w:rFonts w:ascii="Times New Roman" w:hAnsi="Times New Roman" w:cs="Times New Roman"/>
          <w:sz w:val="24"/>
          <w:szCs w:val="24"/>
        </w:rPr>
        <w:t xml:space="preserve"> </w:t>
      </w:r>
      <w:r w:rsidRPr="00407437">
        <w:rPr>
          <w:rFonts w:ascii="Times New Roman" w:hAnsi="Times New Roman" w:cs="Times New Roman"/>
          <w:sz w:val="24"/>
          <w:szCs w:val="24"/>
        </w:rPr>
        <w:t>compensation</w:t>
      </w:r>
      <w:r>
        <w:rPr>
          <w:rFonts w:ascii="Times New Roman" w:hAnsi="Times New Roman" w:cs="Times New Roman"/>
          <w:sz w:val="24"/>
          <w:szCs w:val="24"/>
        </w:rPr>
        <w:t xml:space="preserve"> </w:t>
      </w:r>
      <w:r w:rsidRPr="00407437">
        <w:rPr>
          <w:rFonts w:ascii="Times New Roman" w:hAnsi="Times New Roman" w:cs="Times New Roman"/>
          <w:sz w:val="24"/>
          <w:szCs w:val="24"/>
        </w:rPr>
        <w:t xml:space="preserve">that would be included in a service agreement as the result of bona fide bargaining </w:t>
      </w:r>
      <w:r w:rsidRPr="00407437">
        <w:rPr>
          <w:rFonts w:ascii="Times New Roman" w:hAnsi="Times New Roman" w:cs="Times New Roman"/>
          <w:sz w:val="24"/>
          <w:szCs w:val="24"/>
        </w:rPr>
        <w:lastRenderedPageBreak/>
        <w:t>between well-informed parties to the</w:t>
      </w:r>
      <w:r>
        <w:rPr>
          <w:rFonts w:ascii="Times New Roman" w:hAnsi="Times New Roman" w:cs="Times New Roman"/>
          <w:sz w:val="24"/>
          <w:szCs w:val="24"/>
        </w:rPr>
        <w:t xml:space="preserve"> </w:t>
      </w:r>
      <w:r w:rsidRPr="00407437">
        <w:rPr>
          <w:rFonts w:ascii="Times New Roman" w:hAnsi="Times New Roman" w:cs="Times New Roman"/>
          <w:sz w:val="24"/>
          <w:szCs w:val="24"/>
        </w:rPr>
        <w:t>agreement who are not otherwise in a position to generate business for the other party, on the date of acquisition of the</w:t>
      </w:r>
      <w:r>
        <w:rPr>
          <w:rFonts w:ascii="Times New Roman" w:hAnsi="Times New Roman" w:cs="Times New Roman"/>
          <w:sz w:val="24"/>
          <w:szCs w:val="24"/>
        </w:rPr>
        <w:t xml:space="preserve"> </w:t>
      </w:r>
      <w:r w:rsidRPr="00407437">
        <w:rPr>
          <w:rFonts w:ascii="Times New Roman" w:hAnsi="Times New Roman" w:cs="Times New Roman"/>
          <w:sz w:val="24"/>
          <w:szCs w:val="24"/>
        </w:rPr>
        <w:t>asset or at the time of the service agreement. Usually, the fair market price is the price at which bona fide sales have</w:t>
      </w:r>
      <w:r>
        <w:rPr>
          <w:rFonts w:ascii="Times New Roman" w:hAnsi="Times New Roman" w:cs="Times New Roman"/>
          <w:sz w:val="24"/>
          <w:szCs w:val="24"/>
        </w:rPr>
        <w:t xml:space="preserve"> </w:t>
      </w:r>
      <w:r w:rsidRPr="00407437">
        <w:rPr>
          <w:rFonts w:ascii="Times New Roman" w:hAnsi="Times New Roman" w:cs="Times New Roman"/>
          <w:sz w:val="24"/>
          <w:szCs w:val="24"/>
        </w:rPr>
        <w:t>been consummated for assets of like type, quality, and quantity in a particular market at the time of acquisition, or the</w:t>
      </w:r>
      <w:r>
        <w:rPr>
          <w:rFonts w:ascii="Times New Roman" w:hAnsi="Times New Roman" w:cs="Times New Roman"/>
          <w:sz w:val="24"/>
          <w:szCs w:val="24"/>
        </w:rPr>
        <w:t xml:space="preserve"> </w:t>
      </w:r>
      <w:r w:rsidRPr="00407437">
        <w:rPr>
          <w:rFonts w:ascii="Times New Roman" w:hAnsi="Times New Roman" w:cs="Times New Roman"/>
          <w:sz w:val="24"/>
          <w:szCs w:val="24"/>
        </w:rPr>
        <w:t>compensation that has been included in bona fide service agreements with comparable terms at the time of the agreement,</w:t>
      </w:r>
      <w:r>
        <w:rPr>
          <w:rFonts w:ascii="Times New Roman" w:hAnsi="Times New Roman" w:cs="Times New Roman"/>
          <w:sz w:val="24"/>
          <w:szCs w:val="24"/>
        </w:rPr>
        <w:t xml:space="preserve"> </w:t>
      </w:r>
      <w:r w:rsidRPr="00407437">
        <w:rPr>
          <w:rFonts w:ascii="Times New Roman" w:hAnsi="Times New Roman" w:cs="Times New Roman"/>
          <w:sz w:val="24"/>
          <w:szCs w:val="24"/>
        </w:rPr>
        <w:t>where the price or compensation has not been determined in any manner that takes into account the volume or value of</w:t>
      </w:r>
      <w:r>
        <w:rPr>
          <w:rFonts w:ascii="Times New Roman" w:hAnsi="Times New Roman" w:cs="Times New Roman"/>
          <w:sz w:val="24"/>
          <w:szCs w:val="24"/>
        </w:rPr>
        <w:t xml:space="preserve"> </w:t>
      </w:r>
      <w:r w:rsidRPr="00407437">
        <w:rPr>
          <w:rFonts w:ascii="Times New Roman" w:hAnsi="Times New Roman" w:cs="Times New Roman"/>
          <w:sz w:val="24"/>
          <w:szCs w:val="24"/>
        </w:rPr>
        <w:t>anticipated or actual referrals.</w:t>
      </w:r>
      <w:r>
        <w:rPr>
          <w:rFonts w:ascii="Times New Roman" w:hAnsi="Times New Roman" w:cs="Times New Roman"/>
          <w:sz w:val="24"/>
          <w:szCs w:val="24"/>
        </w:rPr>
        <w:t>”  42 C.F.R. § 411.351.</w:t>
      </w:r>
    </w:p>
    <w:p w:rsidR="00407437" w:rsidRDefault="00407437" w:rsidP="00407437">
      <w:pPr>
        <w:spacing w:after="0" w:line="240" w:lineRule="auto"/>
        <w:rPr>
          <w:rFonts w:ascii="Times New Roman" w:hAnsi="Times New Roman" w:cs="Times New Roman"/>
          <w:sz w:val="24"/>
          <w:szCs w:val="24"/>
        </w:rPr>
      </w:pPr>
    </w:p>
    <w:p w:rsidR="00544580" w:rsidRDefault="00407437" w:rsidP="0054458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w:t>
      </w:r>
      <w:r>
        <w:rPr>
          <w:rFonts w:ascii="Times New Roman" w:hAnsi="Times New Roman" w:cs="Times New Roman"/>
          <w:sz w:val="24"/>
          <w:szCs w:val="24"/>
        </w:rPr>
        <w:tab/>
        <w:t xml:space="preserve">CR </w:t>
      </w:r>
      <w:r w:rsidR="00544580">
        <w:rPr>
          <w:rFonts w:ascii="Times New Roman" w:hAnsi="Times New Roman" w:cs="Times New Roman"/>
          <w:sz w:val="24"/>
          <w:szCs w:val="24"/>
        </w:rPr>
        <w:t>–</w:t>
      </w:r>
      <w:r>
        <w:rPr>
          <w:rFonts w:ascii="Times New Roman" w:hAnsi="Times New Roman" w:cs="Times New Roman"/>
          <w:sz w:val="24"/>
          <w:szCs w:val="24"/>
        </w:rPr>
        <w:t xml:space="preserve"> </w:t>
      </w:r>
      <w:r w:rsidR="00544580">
        <w:rPr>
          <w:rFonts w:ascii="Times New Roman" w:hAnsi="Times New Roman" w:cs="Times New Roman"/>
          <w:sz w:val="24"/>
          <w:szCs w:val="24"/>
        </w:rPr>
        <w:t>“</w:t>
      </w:r>
      <w:r w:rsidR="00544580" w:rsidRPr="00544580">
        <w:rPr>
          <w:rFonts w:ascii="Times New Roman" w:hAnsi="Times New Roman" w:cs="Times New Roman"/>
          <w:sz w:val="24"/>
          <w:szCs w:val="24"/>
        </w:rPr>
        <w:t>An arrangement will be</w:t>
      </w:r>
      <w:r w:rsidR="00544580">
        <w:rPr>
          <w:rFonts w:ascii="Times New Roman" w:hAnsi="Times New Roman" w:cs="Times New Roman"/>
          <w:sz w:val="24"/>
          <w:szCs w:val="24"/>
        </w:rPr>
        <w:t xml:space="preserve"> </w:t>
      </w:r>
      <w:r w:rsidR="00544580" w:rsidRPr="00544580">
        <w:rPr>
          <w:rFonts w:ascii="Times New Roman" w:hAnsi="Times New Roman" w:cs="Times New Roman"/>
          <w:sz w:val="24"/>
          <w:szCs w:val="24"/>
        </w:rPr>
        <w:t xml:space="preserve">considered </w:t>
      </w:r>
      <w:r w:rsidR="00544580">
        <w:rPr>
          <w:rFonts w:ascii="Times New Roman" w:hAnsi="Times New Roman" w:cs="Times New Roman"/>
          <w:sz w:val="24"/>
          <w:szCs w:val="24"/>
        </w:rPr>
        <w:t>‘</w:t>
      </w:r>
      <w:r w:rsidR="00544580" w:rsidRPr="00544580">
        <w:rPr>
          <w:rFonts w:ascii="Times New Roman" w:hAnsi="Times New Roman" w:cs="Times New Roman"/>
          <w:sz w:val="24"/>
          <w:szCs w:val="24"/>
        </w:rPr>
        <w:t>commercially reasonable</w:t>
      </w:r>
      <w:r w:rsidR="00544580">
        <w:rPr>
          <w:rFonts w:ascii="Times New Roman" w:hAnsi="Times New Roman" w:cs="Times New Roman"/>
          <w:sz w:val="24"/>
          <w:szCs w:val="24"/>
        </w:rPr>
        <w:t xml:space="preserve">’ </w:t>
      </w:r>
      <w:r w:rsidR="00544580" w:rsidRPr="00544580">
        <w:rPr>
          <w:rFonts w:ascii="Times New Roman" w:hAnsi="Times New Roman" w:cs="Times New Roman"/>
          <w:sz w:val="24"/>
          <w:szCs w:val="24"/>
        </w:rPr>
        <w:t>in the absence of referrals if the</w:t>
      </w:r>
      <w:r w:rsidR="00544580">
        <w:rPr>
          <w:rFonts w:ascii="Times New Roman" w:hAnsi="Times New Roman" w:cs="Times New Roman"/>
          <w:sz w:val="24"/>
          <w:szCs w:val="24"/>
        </w:rPr>
        <w:t xml:space="preserve"> </w:t>
      </w:r>
      <w:r w:rsidR="00544580" w:rsidRPr="00544580">
        <w:rPr>
          <w:rFonts w:ascii="Times New Roman" w:hAnsi="Times New Roman" w:cs="Times New Roman"/>
          <w:sz w:val="24"/>
          <w:szCs w:val="24"/>
        </w:rPr>
        <w:t>arrangement would make commercial</w:t>
      </w:r>
      <w:r w:rsidR="00544580">
        <w:rPr>
          <w:rFonts w:ascii="Times New Roman" w:hAnsi="Times New Roman" w:cs="Times New Roman"/>
          <w:sz w:val="24"/>
          <w:szCs w:val="24"/>
        </w:rPr>
        <w:t xml:space="preserve"> </w:t>
      </w:r>
      <w:r w:rsidR="00544580" w:rsidRPr="00544580">
        <w:rPr>
          <w:rFonts w:ascii="Times New Roman" w:hAnsi="Times New Roman" w:cs="Times New Roman"/>
          <w:sz w:val="24"/>
          <w:szCs w:val="24"/>
        </w:rPr>
        <w:t>sense if entered into by a reasonable</w:t>
      </w:r>
      <w:r w:rsidR="00544580">
        <w:rPr>
          <w:rFonts w:ascii="Times New Roman" w:hAnsi="Times New Roman" w:cs="Times New Roman"/>
          <w:sz w:val="24"/>
          <w:szCs w:val="24"/>
        </w:rPr>
        <w:t xml:space="preserve"> </w:t>
      </w:r>
      <w:r w:rsidR="00544580" w:rsidRPr="00544580">
        <w:rPr>
          <w:rFonts w:ascii="Times New Roman" w:hAnsi="Times New Roman" w:cs="Times New Roman"/>
          <w:sz w:val="24"/>
          <w:szCs w:val="24"/>
        </w:rPr>
        <w:t>entity of similar type and size and a</w:t>
      </w:r>
      <w:r w:rsidR="00544580">
        <w:rPr>
          <w:rFonts w:ascii="Times New Roman" w:hAnsi="Times New Roman" w:cs="Times New Roman"/>
          <w:sz w:val="24"/>
          <w:szCs w:val="24"/>
        </w:rPr>
        <w:t xml:space="preserve"> </w:t>
      </w:r>
      <w:r w:rsidR="00544580" w:rsidRPr="00544580">
        <w:rPr>
          <w:rFonts w:ascii="Times New Roman" w:hAnsi="Times New Roman" w:cs="Times New Roman"/>
          <w:sz w:val="24"/>
          <w:szCs w:val="24"/>
        </w:rPr>
        <w:t>reasonable physician (or family member</w:t>
      </w:r>
      <w:r w:rsidR="00544580">
        <w:rPr>
          <w:rFonts w:ascii="Times New Roman" w:hAnsi="Times New Roman" w:cs="Times New Roman"/>
          <w:sz w:val="24"/>
          <w:szCs w:val="24"/>
        </w:rPr>
        <w:t xml:space="preserve"> </w:t>
      </w:r>
      <w:r w:rsidR="00544580" w:rsidRPr="00544580">
        <w:rPr>
          <w:rFonts w:ascii="Times New Roman" w:hAnsi="Times New Roman" w:cs="Times New Roman"/>
          <w:sz w:val="24"/>
          <w:szCs w:val="24"/>
        </w:rPr>
        <w:t>or group practice) of similar scope and</w:t>
      </w:r>
      <w:r w:rsidR="00544580">
        <w:rPr>
          <w:rFonts w:ascii="Times New Roman" w:hAnsi="Times New Roman" w:cs="Times New Roman"/>
          <w:sz w:val="24"/>
          <w:szCs w:val="24"/>
        </w:rPr>
        <w:t xml:space="preserve"> </w:t>
      </w:r>
      <w:r w:rsidR="00544580" w:rsidRPr="00544580">
        <w:rPr>
          <w:rFonts w:ascii="Times New Roman" w:hAnsi="Times New Roman" w:cs="Times New Roman"/>
          <w:sz w:val="24"/>
          <w:szCs w:val="24"/>
        </w:rPr>
        <w:t>specialty, even if there were no</w:t>
      </w:r>
      <w:r w:rsidR="00544580">
        <w:rPr>
          <w:rFonts w:ascii="Times New Roman" w:hAnsi="Times New Roman" w:cs="Times New Roman"/>
          <w:sz w:val="24"/>
          <w:szCs w:val="24"/>
        </w:rPr>
        <w:t xml:space="preserve"> </w:t>
      </w:r>
      <w:r w:rsidR="00544580" w:rsidRPr="00544580">
        <w:rPr>
          <w:rFonts w:ascii="Times New Roman" w:hAnsi="Times New Roman" w:cs="Times New Roman"/>
          <w:sz w:val="24"/>
          <w:szCs w:val="24"/>
        </w:rPr>
        <w:t>potential DHS referrals.</w:t>
      </w:r>
      <w:r w:rsidR="00544580">
        <w:rPr>
          <w:rFonts w:ascii="Times New Roman" w:hAnsi="Times New Roman" w:cs="Times New Roman"/>
          <w:sz w:val="24"/>
          <w:szCs w:val="24"/>
        </w:rPr>
        <w:t xml:space="preserve">”  69 Fed. Reg. 16054, 16093 (Mar. 26, 2004) (note this is merely CMS guidance that can no longer be used in health care enforcement).  </w:t>
      </w:r>
    </w:p>
    <w:p w:rsidR="00544580" w:rsidRDefault="00544580" w:rsidP="00544580">
      <w:pPr>
        <w:spacing w:after="0" w:line="240" w:lineRule="auto"/>
        <w:rPr>
          <w:rFonts w:ascii="Times New Roman" w:hAnsi="Times New Roman" w:cs="Times New Roman"/>
          <w:sz w:val="24"/>
          <w:szCs w:val="24"/>
        </w:rPr>
      </w:pPr>
    </w:p>
    <w:p w:rsidR="00544580" w:rsidRDefault="00544580" w:rsidP="0054458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iii.</w:t>
      </w:r>
      <w:r>
        <w:rPr>
          <w:rFonts w:ascii="Times New Roman" w:hAnsi="Times New Roman" w:cs="Times New Roman"/>
          <w:sz w:val="24"/>
          <w:szCs w:val="24"/>
        </w:rPr>
        <w:tab/>
        <w:t>How do relators and DOJ see FMV vs. CR?</w:t>
      </w:r>
    </w:p>
    <w:p w:rsidR="00544580" w:rsidRDefault="00544580" w:rsidP="00544580">
      <w:pPr>
        <w:spacing w:after="0" w:line="240" w:lineRule="auto"/>
        <w:rPr>
          <w:rFonts w:ascii="Times New Roman" w:hAnsi="Times New Roman" w:cs="Times New Roman"/>
          <w:sz w:val="24"/>
          <w:szCs w:val="24"/>
        </w:rPr>
      </w:pPr>
    </w:p>
    <w:p w:rsidR="00544580" w:rsidRDefault="00544580" w:rsidP="0054458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w:t>
      </w:r>
      <w:r>
        <w:rPr>
          <w:rFonts w:ascii="Times New Roman" w:hAnsi="Times New Roman" w:cs="Times New Roman"/>
          <w:sz w:val="24"/>
          <w:szCs w:val="24"/>
        </w:rPr>
        <w:tab/>
        <w:t>What are the risk areas in FMV and CR?</w:t>
      </w:r>
    </w:p>
    <w:p w:rsidR="00544580" w:rsidRDefault="00544580" w:rsidP="00544580">
      <w:pPr>
        <w:spacing w:after="0" w:line="240" w:lineRule="auto"/>
        <w:rPr>
          <w:rFonts w:ascii="Times New Roman" w:hAnsi="Times New Roman" w:cs="Times New Roman"/>
          <w:sz w:val="24"/>
          <w:szCs w:val="24"/>
        </w:rPr>
      </w:pPr>
    </w:p>
    <w:p w:rsidR="00407437" w:rsidRPr="00407437" w:rsidRDefault="00544580" w:rsidP="0054458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r>
      <w:r w:rsidRPr="00544580">
        <w:rPr>
          <w:rFonts w:ascii="Times New Roman" w:hAnsi="Times New Roman" w:cs="Times New Roman"/>
          <w:sz w:val="24"/>
          <w:szCs w:val="24"/>
          <w:highlight w:val="yellow"/>
        </w:rPr>
        <w:t>Practical tips for compliance with FMV and CR.</w:t>
      </w:r>
      <w:r>
        <w:rPr>
          <w:rFonts w:ascii="Times New Roman" w:hAnsi="Times New Roman" w:cs="Times New Roman"/>
          <w:sz w:val="24"/>
          <w:szCs w:val="24"/>
        </w:rPr>
        <w:t xml:space="preserve"> </w:t>
      </w:r>
    </w:p>
    <w:p w:rsidR="00407437" w:rsidRDefault="00407437" w:rsidP="00D712C6">
      <w:pPr>
        <w:spacing w:after="0" w:line="240" w:lineRule="auto"/>
        <w:ind w:left="1440" w:firstLine="720"/>
        <w:rPr>
          <w:rFonts w:ascii="Times New Roman" w:hAnsi="Times New Roman" w:cs="Times New Roman"/>
          <w:sz w:val="24"/>
          <w:szCs w:val="24"/>
        </w:rPr>
      </w:pPr>
    </w:p>
    <w:p w:rsidR="000261E9" w:rsidRDefault="000261E9" w:rsidP="000261E9">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2</w:t>
      </w:r>
      <w:r w:rsidRPr="006200B6">
        <w:rPr>
          <w:rFonts w:ascii="Times New Roman" w:hAnsi="Times New Roman" w:cs="Times New Roman"/>
          <w:b/>
          <w:sz w:val="24"/>
          <w:szCs w:val="24"/>
        </w:rPr>
        <w:t>.</w:t>
      </w:r>
      <w:r w:rsidRPr="006200B6">
        <w:rPr>
          <w:rFonts w:ascii="Times New Roman" w:hAnsi="Times New Roman" w:cs="Times New Roman"/>
          <w:b/>
          <w:sz w:val="24"/>
          <w:szCs w:val="24"/>
        </w:rPr>
        <w:tab/>
      </w:r>
      <w:r>
        <w:rPr>
          <w:rFonts w:ascii="Times New Roman" w:hAnsi="Times New Roman" w:cs="Times New Roman"/>
          <w:b/>
          <w:sz w:val="24"/>
          <w:szCs w:val="24"/>
        </w:rPr>
        <w:t>Considerations for Compliance Officers</w:t>
      </w:r>
    </w:p>
    <w:p w:rsidR="000261E9" w:rsidRDefault="000261E9" w:rsidP="000261E9">
      <w:pPr>
        <w:spacing w:after="0" w:line="240" w:lineRule="auto"/>
        <w:ind w:firstLine="720"/>
        <w:rPr>
          <w:rFonts w:ascii="Times New Roman" w:hAnsi="Times New Roman" w:cs="Times New Roman"/>
          <w:b/>
          <w:sz w:val="24"/>
          <w:szCs w:val="24"/>
        </w:rPr>
      </w:pPr>
    </w:p>
    <w:p w:rsidR="00106021" w:rsidRDefault="000261E9" w:rsidP="000261E9">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ab/>
        <w:t>a.</w:t>
      </w:r>
      <w:r>
        <w:rPr>
          <w:rFonts w:ascii="Times New Roman" w:hAnsi="Times New Roman" w:cs="Times New Roman"/>
          <w:b/>
          <w:sz w:val="24"/>
          <w:szCs w:val="24"/>
        </w:rPr>
        <w:tab/>
      </w:r>
      <w:r w:rsidR="00106021">
        <w:rPr>
          <w:rFonts w:ascii="Times New Roman" w:hAnsi="Times New Roman" w:cs="Times New Roman"/>
          <w:b/>
          <w:sz w:val="24"/>
          <w:szCs w:val="24"/>
        </w:rPr>
        <w:t>What new risk areas may impact your organization given recent case law and regulatory developments in kickback and Stark?</w:t>
      </w:r>
    </w:p>
    <w:p w:rsidR="00106021" w:rsidRDefault="00106021" w:rsidP="000261E9">
      <w:pPr>
        <w:spacing w:after="0" w:line="240" w:lineRule="auto"/>
        <w:ind w:firstLine="720"/>
        <w:rPr>
          <w:rFonts w:ascii="Times New Roman" w:hAnsi="Times New Roman" w:cs="Times New Roman"/>
          <w:b/>
          <w:sz w:val="24"/>
          <w:szCs w:val="24"/>
        </w:rPr>
      </w:pPr>
    </w:p>
    <w:p w:rsidR="000261E9" w:rsidRDefault="00106021" w:rsidP="000261E9">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ab/>
        <w:t>b.</w:t>
      </w:r>
      <w:r>
        <w:rPr>
          <w:rFonts w:ascii="Times New Roman" w:hAnsi="Times New Roman" w:cs="Times New Roman"/>
          <w:b/>
          <w:sz w:val="24"/>
          <w:szCs w:val="24"/>
        </w:rPr>
        <w:tab/>
      </w:r>
      <w:r w:rsidR="000261E9">
        <w:rPr>
          <w:rFonts w:ascii="Times New Roman" w:hAnsi="Times New Roman" w:cs="Times New Roman"/>
          <w:b/>
          <w:sz w:val="24"/>
          <w:szCs w:val="24"/>
        </w:rPr>
        <w:t>Would any new kickback or Stark developments warrant an internal investigation in your organization?</w:t>
      </w:r>
    </w:p>
    <w:p w:rsidR="000261E9" w:rsidRDefault="000261E9" w:rsidP="000261E9">
      <w:pPr>
        <w:spacing w:after="0" w:line="240" w:lineRule="auto"/>
        <w:ind w:firstLine="720"/>
        <w:rPr>
          <w:rFonts w:ascii="Times New Roman" w:hAnsi="Times New Roman" w:cs="Times New Roman"/>
          <w:b/>
          <w:sz w:val="24"/>
          <w:szCs w:val="24"/>
        </w:rPr>
      </w:pPr>
    </w:p>
    <w:p w:rsidR="000261E9" w:rsidRDefault="000261E9" w:rsidP="000261E9">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ab/>
      </w:r>
      <w:r w:rsidR="00106021">
        <w:rPr>
          <w:rFonts w:ascii="Times New Roman" w:hAnsi="Times New Roman" w:cs="Times New Roman"/>
          <w:b/>
          <w:sz w:val="24"/>
          <w:szCs w:val="24"/>
        </w:rPr>
        <w:t>c</w:t>
      </w:r>
      <w:r>
        <w:rPr>
          <w:rFonts w:ascii="Times New Roman" w:hAnsi="Times New Roman" w:cs="Times New Roman"/>
          <w:b/>
          <w:sz w:val="24"/>
          <w:szCs w:val="24"/>
        </w:rPr>
        <w:t>.</w:t>
      </w:r>
      <w:r>
        <w:rPr>
          <w:rFonts w:ascii="Times New Roman" w:hAnsi="Times New Roman" w:cs="Times New Roman"/>
          <w:b/>
          <w:sz w:val="24"/>
          <w:szCs w:val="24"/>
        </w:rPr>
        <w:tab/>
        <w:t xml:space="preserve">How would </w:t>
      </w:r>
      <w:r w:rsidR="00106021">
        <w:rPr>
          <w:rFonts w:ascii="Times New Roman" w:hAnsi="Times New Roman" w:cs="Times New Roman"/>
          <w:b/>
          <w:sz w:val="24"/>
          <w:szCs w:val="24"/>
        </w:rPr>
        <w:t>the organization</w:t>
      </w:r>
      <w:r>
        <w:rPr>
          <w:rFonts w:ascii="Times New Roman" w:hAnsi="Times New Roman" w:cs="Times New Roman"/>
          <w:b/>
          <w:sz w:val="24"/>
          <w:szCs w:val="24"/>
        </w:rPr>
        <w:t xml:space="preserve"> calculate the amount of any overpayments received in non-compliant kickback or Stark arrangements?</w:t>
      </w:r>
    </w:p>
    <w:p w:rsidR="000261E9" w:rsidRDefault="000261E9" w:rsidP="000261E9">
      <w:pPr>
        <w:spacing w:after="0" w:line="240" w:lineRule="auto"/>
        <w:ind w:firstLine="720"/>
        <w:rPr>
          <w:rFonts w:ascii="Times New Roman" w:hAnsi="Times New Roman" w:cs="Times New Roman"/>
          <w:b/>
          <w:sz w:val="24"/>
          <w:szCs w:val="24"/>
        </w:rPr>
      </w:pPr>
    </w:p>
    <w:p w:rsidR="000261E9" w:rsidRDefault="000261E9" w:rsidP="000261E9">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ab/>
      </w:r>
      <w:r w:rsidR="00106021">
        <w:rPr>
          <w:rFonts w:ascii="Times New Roman" w:hAnsi="Times New Roman" w:cs="Times New Roman"/>
          <w:b/>
          <w:sz w:val="24"/>
          <w:szCs w:val="24"/>
        </w:rPr>
        <w:t>d</w:t>
      </w:r>
      <w:r>
        <w:rPr>
          <w:rFonts w:ascii="Times New Roman" w:hAnsi="Times New Roman" w:cs="Times New Roman"/>
          <w:b/>
          <w:sz w:val="24"/>
          <w:szCs w:val="24"/>
        </w:rPr>
        <w:t>.</w:t>
      </w:r>
      <w:r>
        <w:rPr>
          <w:rFonts w:ascii="Times New Roman" w:hAnsi="Times New Roman" w:cs="Times New Roman"/>
          <w:b/>
          <w:sz w:val="24"/>
          <w:szCs w:val="24"/>
        </w:rPr>
        <w:tab/>
        <w:t>Should the compliance officer recommend new policies or modifications to existing policies for kickback and Stark compliance?</w:t>
      </w:r>
    </w:p>
    <w:p w:rsidR="000261E9" w:rsidRDefault="000261E9" w:rsidP="000261E9">
      <w:pPr>
        <w:spacing w:after="0" w:line="240" w:lineRule="auto"/>
        <w:ind w:firstLine="720"/>
        <w:rPr>
          <w:rFonts w:ascii="Times New Roman" w:hAnsi="Times New Roman" w:cs="Times New Roman"/>
          <w:b/>
          <w:sz w:val="24"/>
          <w:szCs w:val="24"/>
        </w:rPr>
      </w:pPr>
    </w:p>
    <w:p w:rsidR="000261E9" w:rsidRDefault="000261E9" w:rsidP="000261E9">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ab/>
      </w:r>
      <w:r w:rsidR="00106021">
        <w:rPr>
          <w:rFonts w:ascii="Times New Roman" w:hAnsi="Times New Roman" w:cs="Times New Roman"/>
          <w:b/>
          <w:sz w:val="24"/>
          <w:szCs w:val="24"/>
        </w:rPr>
        <w:t>e</w:t>
      </w:r>
      <w:r>
        <w:rPr>
          <w:rFonts w:ascii="Times New Roman" w:hAnsi="Times New Roman" w:cs="Times New Roman"/>
          <w:b/>
          <w:sz w:val="24"/>
          <w:szCs w:val="24"/>
        </w:rPr>
        <w:t>.</w:t>
      </w:r>
      <w:r>
        <w:rPr>
          <w:rFonts w:ascii="Times New Roman" w:hAnsi="Times New Roman" w:cs="Times New Roman"/>
          <w:b/>
          <w:sz w:val="24"/>
          <w:szCs w:val="24"/>
        </w:rPr>
        <w:tab/>
      </w:r>
      <w:r w:rsidR="00106021">
        <w:rPr>
          <w:rFonts w:ascii="Times New Roman" w:hAnsi="Times New Roman" w:cs="Times New Roman"/>
          <w:b/>
          <w:sz w:val="24"/>
          <w:szCs w:val="24"/>
        </w:rPr>
        <w:t xml:space="preserve">How will your organization be affected by the Trump Administration’s focus on lowering drug prices, reducing regulations and moving away from agency guidance documents? </w:t>
      </w:r>
    </w:p>
    <w:p w:rsidR="000261E9" w:rsidRDefault="000261E9" w:rsidP="000261E9">
      <w:pPr>
        <w:spacing w:after="0" w:line="240" w:lineRule="auto"/>
        <w:ind w:firstLine="720"/>
        <w:rPr>
          <w:rFonts w:ascii="Times New Roman" w:hAnsi="Times New Roman" w:cs="Times New Roman"/>
          <w:b/>
          <w:sz w:val="24"/>
          <w:szCs w:val="24"/>
        </w:rPr>
      </w:pPr>
    </w:p>
    <w:p w:rsidR="000261E9" w:rsidRDefault="000261E9" w:rsidP="000261E9">
      <w:pPr>
        <w:spacing w:after="0" w:line="240" w:lineRule="auto"/>
        <w:ind w:firstLine="720"/>
        <w:rPr>
          <w:rFonts w:ascii="Times New Roman" w:hAnsi="Times New Roman" w:cs="Times New Roman"/>
          <w:sz w:val="24"/>
          <w:szCs w:val="24"/>
        </w:rPr>
      </w:pPr>
    </w:p>
    <w:p w:rsidR="000261E9" w:rsidRDefault="000261E9" w:rsidP="00D712C6">
      <w:pPr>
        <w:spacing w:after="0" w:line="240" w:lineRule="auto"/>
        <w:ind w:left="1440" w:firstLine="720"/>
        <w:rPr>
          <w:rFonts w:ascii="Times New Roman" w:hAnsi="Times New Roman" w:cs="Times New Roman"/>
          <w:sz w:val="24"/>
          <w:szCs w:val="24"/>
        </w:rPr>
      </w:pPr>
    </w:p>
    <w:sectPr w:rsidR="000261E9">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8C" w:rsidRDefault="00330E8C" w:rsidP="00413806">
      <w:pPr>
        <w:spacing w:after="0" w:line="240" w:lineRule="auto"/>
      </w:pPr>
      <w:r>
        <w:separator/>
      </w:r>
    </w:p>
  </w:endnote>
  <w:endnote w:type="continuationSeparator" w:id="0">
    <w:p w:rsidR="00330E8C" w:rsidRDefault="00330E8C" w:rsidP="00413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984532"/>
      <w:docPartObj>
        <w:docPartGallery w:val="Page Numbers (Bottom of Page)"/>
        <w:docPartUnique/>
      </w:docPartObj>
    </w:sdtPr>
    <w:sdtEndPr>
      <w:rPr>
        <w:noProof/>
      </w:rPr>
    </w:sdtEndPr>
    <w:sdtContent>
      <w:p w:rsidR="00330E8C" w:rsidRDefault="00330E8C">
        <w:pPr>
          <w:pStyle w:val="Footer"/>
          <w:jc w:val="center"/>
        </w:pPr>
        <w:r>
          <w:fldChar w:fldCharType="begin"/>
        </w:r>
        <w:r>
          <w:instrText xml:space="preserve"> PAGE   \* MERGEFORMAT </w:instrText>
        </w:r>
        <w:r>
          <w:fldChar w:fldCharType="separate"/>
        </w:r>
        <w:r w:rsidR="006E43D6">
          <w:rPr>
            <w:noProof/>
          </w:rPr>
          <w:t>2</w:t>
        </w:r>
        <w:r>
          <w:rPr>
            <w:noProof/>
          </w:rPr>
          <w:fldChar w:fldCharType="end"/>
        </w:r>
      </w:p>
    </w:sdtContent>
  </w:sdt>
  <w:p w:rsidR="00330E8C" w:rsidRDefault="00330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8C" w:rsidRDefault="00330E8C" w:rsidP="00413806">
      <w:pPr>
        <w:spacing w:after="0" w:line="240" w:lineRule="auto"/>
      </w:pPr>
      <w:r>
        <w:separator/>
      </w:r>
    </w:p>
  </w:footnote>
  <w:footnote w:type="continuationSeparator" w:id="0">
    <w:p w:rsidR="00330E8C" w:rsidRDefault="00330E8C" w:rsidP="00413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07239"/>
    <w:multiLevelType w:val="multilevel"/>
    <w:tmpl w:val="7954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0100D7"/>
    <w:multiLevelType w:val="hybridMultilevel"/>
    <w:tmpl w:val="E31417D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49"/>
    <w:rsid w:val="000261E9"/>
    <w:rsid w:val="00062DA5"/>
    <w:rsid w:val="000801A9"/>
    <w:rsid w:val="000E7AEA"/>
    <w:rsid w:val="0010534C"/>
    <w:rsid w:val="00106021"/>
    <w:rsid w:val="00121FAC"/>
    <w:rsid w:val="00123B67"/>
    <w:rsid w:val="0012486E"/>
    <w:rsid w:val="00166E65"/>
    <w:rsid w:val="001752A3"/>
    <w:rsid w:val="00175558"/>
    <w:rsid w:val="001B7005"/>
    <w:rsid w:val="001C6166"/>
    <w:rsid w:val="001E4C77"/>
    <w:rsid w:val="0028764A"/>
    <w:rsid w:val="00291D08"/>
    <w:rsid w:val="002B711E"/>
    <w:rsid w:val="00324101"/>
    <w:rsid w:val="00330E8C"/>
    <w:rsid w:val="00360DD1"/>
    <w:rsid w:val="00407437"/>
    <w:rsid w:val="00413806"/>
    <w:rsid w:val="00482E0D"/>
    <w:rsid w:val="0048434F"/>
    <w:rsid w:val="00484CA9"/>
    <w:rsid w:val="004D73F5"/>
    <w:rsid w:val="004E483A"/>
    <w:rsid w:val="005049C7"/>
    <w:rsid w:val="00544580"/>
    <w:rsid w:val="00572482"/>
    <w:rsid w:val="005A3AC3"/>
    <w:rsid w:val="005A4915"/>
    <w:rsid w:val="006200B6"/>
    <w:rsid w:val="006502E2"/>
    <w:rsid w:val="006A0933"/>
    <w:rsid w:val="006D093F"/>
    <w:rsid w:val="006E43D6"/>
    <w:rsid w:val="006E7199"/>
    <w:rsid w:val="00722687"/>
    <w:rsid w:val="007401A7"/>
    <w:rsid w:val="007677C4"/>
    <w:rsid w:val="007B534C"/>
    <w:rsid w:val="007C1941"/>
    <w:rsid w:val="007F2815"/>
    <w:rsid w:val="008000BA"/>
    <w:rsid w:val="00800D3E"/>
    <w:rsid w:val="008040F9"/>
    <w:rsid w:val="00807A10"/>
    <w:rsid w:val="008220BA"/>
    <w:rsid w:val="008221A2"/>
    <w:rsid w:val="0086312F"/>
    <w:rsid w:val="008A4170"/>
    <w:rsid w:val="008B3213"/>
    <w:rsid w:val="00910FCF"/>
    <w:rsid w:val="00970968"/>
    <w:rsid w:val="009A00D7"/>
    <w:rsid w:val="009E02DD"/>
    <w:rsid w:val="00A13A47"/>
    <w:rsid w:val="00A40B0B"/>
    <w:rsid w:val="00A429B0"/>
    <w:rsid w:val="00A446F7"/>
    <w:rsid w:val="00A71D21"/>
    <w:rsid w:val="00A74E2C"/>
    <w:rsid w:val="00A80169"/>
    <w:rsid w:val="00A915B9"/>
    <w:rsid w:val="00A9209F"/>
    <w:rsid w:val="00B62DBB"/>
    <w:rsid w:val="00B86165"/>
    <w:rsid w:val="00BC279C"/>
    <w:rsid w:val="00BF7A78"/>
    <w:rsid w:val="00C32349"/>
    <w:rsid w:val="00C41B43"/>
    <w:rsid w:val="00C473CF"/>
    <w:rsid w:val="00C71A68"/>
    <w:rsid w:val="00C71B97"/>
    <w:rsid w:val="00C91B3A"/>
    <w:rsid w:val="00CD54CA"/>
    <w:rsid w:val="00D1406D"/>
    <w:rsid w:val="00D712C6"/>
    <w:rsid w:val="00DA7F47"/>
    <w:rsid w:val="00E06E0A"/>
    <w:rsid w:val="00E550AA"/>
    <w:rsid w:val="00E57C19"/>
    <w:rsid w:val="00E732D7"/>
    <w:rsid w:val="00E953D1"/>
    <w:rsid w:val="00EA3478"/>
    <w:rsid w:val="00EF7678"/>
    <w:rsid w:val="00F10F8A"/>
    <w:rsid w:val="00F14CA7"/>
    <w:rsid w:val="00F25481"/>
    <w:rsid w:val="00F66BC7"/>
    <w:rsid w:val="00F812B0"/>
    <w:rsid w:val="00FE12B1"/>
    <w:rsid w:val="00FE7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481"/>
    <w:rPr>
      <w:color w:val="0563C1" w:themeColor="hyperlink"/>
      <w:u w:val="single"/>
    </w:rPr>
  </w:style>
  <w:style w:type="character" w:customStyle="1" w:styleId="UnresolvedMention">
    <w:name w:val="Unresolved Mention"/>
    <w:basedOn w:val="DefaultParagraphFont"/>
    <w:uiPriority w:val="99"/>
    <w:semiHidden/>
    <w:unhideWhenUsed/>
    <w:rsid w:val="00F25481"/>
    <w:rPr>
      <w:color w:val="808080"/>
      <w:shd w:val="clear" w:color="auto" w:fill="E6E6E6"/>
    </w:rPr>
  </w:style>
  <w:style w:type="character" w:styleId="FollowedHyperlink">
    <w:name w:val="FollowedHyperlink"/>
    <w:basedOn w:val="DefaultParagraphFont"/>
    <w:uiPriority w:val="99"/>
    <w:semiHidden/>
    <w:unhideWhenUsed/>
    <w:rsid w:val="00121FAC"/>
    <w:rPr>
      <w:color w:val="954F72" w:themeColor="followedHyperlink"/>
      <w:u w:val="single"/>
    </w:rPr>
  </w:style>
  <w:style w:type="paragraph" w:styleId="Header">
    <w:name w:val="header"/>
    <w:basedOn w:val="Normal"/>
    <w:link w:val="HeaderChar"/>
    <w:uiPriority w:val="99"/>
    <w:unhideWhenUsed/>
    <w:rsid w:val="00413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806"/>
  </w:style>
  <w:style w:type="paragraph" w:styleId="Footer">
    <w:name w:val="footer"/>
    <w:basedOn w:val="Normal"/>
    <w:link w:val="FooterChar"/>
    <w:uiPriority w:val="99"/>
    <w:unhideWhenUsed/>
    <w:rsid w:val="00413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806"/>
  </w:style>
  <w:style w:type="paragraph" w:styleId="ListParagraph">
    <w:name w:val="List Paragraph"/>
    <w:basedOn w:val="Normal"/>
    <w:uiPriority w:val="34"/>
    <w:qFormat/>
    <w:rsid w:val="006200B6"/>
    <w:pPr>
      <w:ind w:left="720"/>
      <w:contextualSpacing/>
    </w:pPr>
  </w:style>
  <w:style w:type="paragraph" w:styleId="BalloonText">
    <w:name w:val="Balloon Text"/>
    <w:basedOn w:val="Normal"/>
    <w:link w:val="BalloonTextChar"/>
    <w:uiPriority w:val="99"/>
    <w:semiHidden/>
    <w:unhideWhenUsed/>
    <w:rsid w:val="0091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F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481"/>
    <w:rPr>
      <w:color w:val="0563C1" w:themeColor="hyperlink"/>
      <w:u w:val="single"/>
    </w:rPr>
  </w:style>
  <w:style w:type="character" w:customStyle="1" w:styleId="UnresolvedMention">
    <w:name w:val="Unresolved Mention"/>
    <w:basedOn w:val="DefaultParagraphFont"/>
    <w:uiPriority w:val="99"/>
    <w:semiHidden/>
    <w:unhideWhenUsed/>
    <w:rsid w:val="00F25481"/>
    <w:rPr>
      <w:color w:val="808080"/>
      <w:shd w:val="clear" w:color="auto" w:fill="E6E6E6"/>
    </w:rPr>
  </w:style>
  <w:style w:type="character" w:styleId="FollowedHyperlink">
    <w:name w:val="FollowedHyperlink"/>
    <w:basedOn w:val="DefaultParagraphFont"/>
    <w:uiPriority w:val="99"/>
    <w:semiHidden/>
    <w:unhideWhenUsed/>
    <w:rsid w:val="00121FAC"/>
    <w:rPr>
      <w:color w:val="954F72" w:themeColor="followedHyperlink"/>
      <w:u w:val="single"/>
    </w:rPr>
  </w:style>
  <w:style w:type="paragraph" w:styleId="Header">
    <w:name w:val="header"/>
    <w:basedOn w:val="Normal"/>
    <w:link w:val="HeaderChar"/>
    <w:uiPriority w:val="99"/>
    <w:unhideWhenUsed/>
    <w:rsid w:val="00413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806"/>
  </w:style>
  <w:style w:type="paragraph" w:styleId="Footer">
    <w:name w:val="footer"/>
    <w:basedOn w:val="Normal"/>
    <w:link w:val="FooterChar"/>
    <w:uiPriority w:val="99"/>
    <w:unhideWhenUsed/>
    <w:rsid w:val="00413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806"/>
  </w:style>
  <w:style w:type="paragraph" w:styleId="ListParagraph">
    <w:name w:val="List Paragraph"/>
    <w:basedOn w:val="Normal"/>
    <w:uiPriority w:val="34"/>
    <w:qFormat/>
    <w:rsid w:val="006200B6"/>
    <w:pPr>
      <w:ind w:left="720"/>
      <w:contextualSpacing/>
    </w:pPr>
  </w:style>
  <w:style w:type="paragraph" w:styleId="BalloonText">
    <w:name w:val="Balloon Text"/>
    <w:basedOn w:val="Normal"/>
    <w:link w:val="BalloonTextChar"/>
    <w:uiPriority w:val="99"/>
    <w:semiHidden/>
    <w:unhideWhenUsed/>
    <w:rsid w:val="0091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throw@wmolaw.com" TargetMode="External"/><Relationship Id="rId13" Type="http://schemas.openxmlformats.org/officeDocument/2006/relationships/hyperlink" Target="https://www.leagle.com/decision/infdco20171205d18" TargetMode="External"/><Relationship Id="rId18" Type="http://schemas.openxmlformats.org/officeDocument/2006/relationships/hyperlink" Target="http://www.cardiobrief.org/2017/06/12/trustee-for-zombie-lab-sues-thousands-of-doctors-and-dozens-of-nonprofits/" TargetMode="External"/><Relationship Id="rId26" Type="http://schemas.openxmlformats.org/officeDocument/2006/relationships/hyperlink" Target="https://www.nytimes.com/2017/12/14/us/politics/trump-federal-regulations.html" TargetMode="External"/><Relationship Id="rId3" Type="http://schemas.microsoft.com/office/2007/relationships/stylesWithEffects" Target="stylesWithEffects.xml"/><Relationship Id="rId21" Type="http://schemas.openxmlformats.org/officeDocument/2006/relationships/hyperlink" Target="https://www.jct.gov/publications.html?func=startdown&amp;id=5053"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t.ly/2rSydr9" TargetMode="External"/><Relationship Id="rId17" Type="http://schemas.openxmlformats.org/officeDocument/2006/relationships/hyperlink" Target="http://www.modernhealthcare.com/article/20150609/NEWS/150609890" TargetMode="External"/><Relationship Id="rId25" Type="http://schemas.openxmlformats.org/officeDocument/2006/relationships/hyperlink" Target="https://www.justice.gov/file/1028756/download" TargetMode="External"/><Relationship Id="rId33" Type="http://schemas.openxmlformats.org/officeDocument/2006/relationships/hyperlink" Target="https://www.hfma.org/Content.aspx?id=54498" TargetMode="External"/><Relationship Id="rId2" Type="http://schemas.openxmlformats.org/officeDocument/2006/relationships/styles" Target="styles.xml"/><Relationship Id="rId16" Type="http://schemas.openxmlformats.org/officeDocument/2006/relationships/hyperlink" Target="https://www.justice.gov/opa/pr/two-cardiovascular-disease-testing-laboratories-pay-485-million-settle-claims-paying" TargetMode="External"/><Relationship Id="rId20" Type="http://schemas.openxmlformats.org/officeDocument/2006/relationships/hyperlink" Target="https://www.cms.gov/Medicare/Fraud-and-Abuse/PhysicianSelfReferral/Self-Referral-Disclosure-Protocol-Settlements.html" TargetMode="External"/><Relationship Id="rId29" Type="http://schemas.openxmlformats.org/officeDocument/2006/relationships/hyperlink" Target="https://www.whitehouse.gov/briefings-statements/remarks-president-trump-swearing-ceremony-alex-azar-secretary-department-health-human-servi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2.ca3.uscourts.gov/opinarch/171152p.pdf" TargetMode="External"/><Relationship Id="rId24" Type="http://schemas.openxmlformats.org/officeDocument/2006/relationships/hyperlink" Target="https://www.justice.gov/opa/press-release/file/1012271/download" TargetMode="External"/><Relationship Id="rId32" Type="http://schemas.openxmlformats.org/officeDocument/2006/relationships/hyperlink" Target="https://innovation.cms.gov/initiatives/index.html" TargetMode="External"/><Relationship Id="rId5" Type="http://schemas.openxmlformats.org/officeDocument/2006/relationships/webSettings" Target="webSettings.xml"/><Relationship Id="rId15" Type="http://schemas.openxmlformats.org/officeDocument/2006/relationships/hyperlink" Target="https://oig.hhs.gov/fraud/docs/alertsandbulletins/2014/OIG_SFA_Laboratory_Payments_06252014.pdf" TargetMode="External"/><Relationship Id="rId23" Type="http://schemas.openxmlformats.org/officeDocument/2006/relationships/hyperlink" Target="https://assets.documentcloud.org/documents/4358602/Memo-for-Evaluating-Dismissal-Pursuant-to-31-U-S.pdf" TargetMode="External"/><Relationship Id="rId28" Type="http://schemas.openxmlformats.org/officeDocument/2006/relationships/hyperlink" Target="http://www.fdalawblog.net/wp-content/uploads/2018/01/Ruckh-opinion-re-Escobar-280040198229.pdf" TargetMode="External"/><Relationship Id="rId36" Type="http://schemas.openxmlformats.org/officeDocument/2006/relationships/theme" Target="theme/theme1.xml"/><Relationship Id="rId10" Type="http://schemas.openxmlformats.org/officeDocument/2006/relationships/hyperlink" Target="https://www.justice.gov/opa/pr/drug-maker-united-therapeutics-agrees-pay-210-million-resolve-false-claims-act-liability" TargetMode="External"/><Relationship Id="rId19" Type="http://schemas.openxmlformats.org/officeDocument/2006/relationships/hyperlink" Target="https://www.cms.gov/Medicare/Fraud-and-Abuse/PhysicianSelfReferral/Self_Referral_Disclosure_Protocol.html" TargetMode="External"/><Relationship Id="rId31" Type="http://schemas.openxmlformats.org/officeDocument/2006/relationships/hyperlink" Target="https://www.bna.com/drug-device-companies-n57982085546" TargetMode="External"/><Relationship Id="rId4" Type="http://schemas.openxmlformats.org/officeDocument/2006/relationships/settings" Target="settings.xml"/><Relationship Id="rId9" Type="http://schemas.openxmlformats.org/officeDocument/2006/relationships/hyperlink" Target="http://www.wmolaw.com" TargetMode="External"/><Relationship Id="rId14" Type="http://schemas.openxmlformats.org/officeDocument/2006/relationships/hyperlink" Target="https://www.justice.gov/usao-sc/pr/midlands-area-man-found-liable-51-million-health-care-fraud" TargetMode="External"/><Relationship Id="rId22" Type="http://schemas.openxmlformats.org/officeDocument/2006/relationships/hyperlink" Target="https://www.grassley.senate.gov/news/news-releases/grassley-scotus-decision-important-step-reducing-fraud-against-taxpayers" TargetMode="External"/><Relationship Id="rId27" Type="http://schemas.openxmlformats.org/officeDocument/2006/relationships/hyperlink" Target="https://www.whitehouse.gov/presidential-actions/presidential-executive-order-reducing-regulation-controlling-regulatory-costs/" TargetMode="External"/><Relationship Id="rId30" Type="http://schemas.openxmlformats.org/officeDocument/2006/relationships/hyperlink" Target="https://www.citizen.org/sites/default/files/trump-pharma-outcomes-based-arrangements-proposal.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4564</Words>
  <Characters>26015</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Withrow</dc:creator>
  <cp:lastModifiedBy>Zerlin, Amber</cp:lastModifiedBy>
  <cp:revision>2</cp:revision>
  <cp:lastPrinted>2018-03-02T20:09:00Z</cp:lastPrinted>
  <dcterms:created xsi:type="dcterms:W3CDTF">2018-03-08T21:36:00Z</dcterms:created>
  <dcterms:modified xsi:type="dcterms:W3CDTF">2018-03-08T21:36:00Z</dcterms:modified>
</cp:coreProperties>
</file>